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Default Extension="png" ContentType="image/png"/>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9"/>
        <w:ind w:left="278"/>
        <w:rPr>
          <w:rFonts w:ascii="黑体"/>
        </w:rPr>
      </w:pPr>
      <w:r>
        <w:rPr/>
        <w:drawing>
          <wp:anchor distT="0" distB="0" distL="0" distR="0" allowOverlap="1" layoutInCell="1" locked="0" behindDoc="0" simplePos="0" relativeHeight="251660288">
            <wp:simplePos x="0" y="0"/>
            <wp:positionH relativeFrom="page">
              <wp:posOffset>5184647</wp:posOffset>
            </wp:positionH>
            <wp:positionV relativeFrom="paragraph">
              <wp:posOffset>125729</wp:posOffset>
            </wp:positionV>
            <wp:extent cx="1403603" cy="72085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403603" cy="720851"/>
                    </a:xfrm>
                    <a:prstGeom prst="rect">
                      <a:avLst/>
                    </a:prstGeom>
                  </pic:spPr>
                </pic:pic>
              </a:graphicData>
            </a:graphic>
          </wp:anchor>
        </w:drawing>
      </w:r>
      <w:r>
        <w:rPr>
          <w:rFonts w:ascii="黑体"/>
        </w:rPr>
        <w:t>ICS 13.100</w:t>
      </w:r>
    </w:p>
    <w:p>
      <w:pPr>
        <w:pStyle w:val="BodyText"/>
        <w:spacing w:before="42"/>
        <w:ind w:left="278"/>
        <w:rPr>
          <w:rFonts w:ascii="黑体"/>
        </w:rPr>
      </w:pPr>
      <w:r>
        <w:rPr>
          <w:rFonts w:ascii="黑体"/>
        </w:rPr>
        <w:t>C 78</w:t>
      </w:r>
    </w:p>
    <w:p>
      <w:pPr>
        <w:pStyle w:val="BodyText"/>
        <w:spacing w:before="0"/>
        <w:rPr>
          <w:rFonts w:ascii="黑体"/>
          <w:sz w:val="20"/>
        </w:rPr>
      </w:pPr>
    </w:p>
    <w:p>
      <w:pPr>
        <w:pStyle w:val="BodyText"/>
        <w:spacing w:before="0"/>
        <w:rPr>
          <w:rFonts w:ascii="黑体"/>
          <w:sz w:val="20"/>
        </w:rPr>
      </w:pPr>
    </w:p>
    <w:p>
      <w:pPr>
        <w:pStyle w:val="BodyText"/>
        <w:spacing w:before="0"/>
        <w:rPr>
          <w:rFonts w:ascii="黑体"/>
          <w:sz w:val="20"/>
        </w:rPr>
      </w:pPr>
    </w:p>
    <w:p>
      <w:pPr>
        <w:pStyle w:val="BodyText"/>
        <w:spacing w:before="5"/>
        <w:rPr>
          <w:rFonts w:ascii="黑体"/>
          <w:sz w:val="15"/>
        </w:rPr>
      </w:pPr>
    </w:p>
    <w:p>
      <w:pPr>
        <w:spacing w:before="27"/>
        <w:ind w:left="278" w:right="0" w:firstLine="0"/>
        <w:jc w:val="left"/>
        <w:rPr>
          <w:b/>
          <w:sz w:val="52"/>
        </w:rPr>
      </w:pPr>
      <w:r>
        <w:rPr>
          <w:b/>
          <w:spacing w:val="101"/>
          <w:w w:val="145"/>
          <w:sz w:val="52"/>
        </w:rPr>
        <w:t>中华人民共和国国家标准</w:t>
      </w:r>
    </w:p>
    <w:p>
      <w:pPr>
        <w:pStyle w:val="BodyText"/>
        <w:spacing w:before="12"/>
        <w:rPr>
          <w:b/>
          <w:sz w:val="15"/>
        </w:rPr>
      </w:pPr>
    </w:p>
    <w:p>
      <w:pPr>
        <w:spacing w:line="352" w:lineRule="exact" w:before="61"/>
        <w:ind w:left="5076" w:right="0" w:firstLine="0"/>
        <w:jc w:val="left"/>
        <w:rPr>
          <w:rFonts w:ascii="黑体" w:hAnsi="黑体"/>
          <w:sz w:val="28"/>
        </w:rPr>
      </w:pPr>
      <w:r>
        <w:rPr>
          <w:rFonts w:ascii="黑体" w:hAnsi="黑体"/>
          <w:sz w:val="28"/>
        </w:rPr>
        <w:t>GB/T 45001—2020/ISO</w:t>
      </w:r>
      <w:r>
        <w:rPr>
          <w:rFonts w:ascii="黑体" w:hAnsi="黑体"/>
          <w:spacing w:val="-14"/>
          <w:sz w:val="28"/>
        </w:rPr>
        <w:t> </w:t>
      </w:r>
      <w:r>
        <w:rPr>
          <w:rFonts w:ascii="黑体" w:hAnsi="黑体"/>
          <w:sz w:val="28"/>
        </w:rPr>
        <w:t>45001:2018</w:t>
      </w:r>
    </w:p>
    <w:p>
      <w:pPr>
        <w:spacing w:line="224" w:lineRule="exact" w:before="0"/>
        <w:ind w:left="6175" w:right="0" w:firstLine="0"/>
        <w:jc w:val="left"/>
        <w:rPr>
          <w:sz w:val="18"/>
        </w:rPr>
      </w:pPr>
      <w:r>
        <w:rPr>
          <w:sz w:val="18"/>
        </w:rPr>
        <w:t>代替GB/T</w:t>
      </w:r>
      <w:r>
        <w:rPr>
          <w:spacing w:val="-5"/>
          <w:sz w:val="18"/>
        </w:rPr>
        <w:t> </w:t>
      </w:r>
      <w:r>
        <w:rPr>
          <w:sz w:val="18"/>
        </w:rPr>
        <w:t>28001-2011和GB/T</w:t>
      </w:r>
      <w:r>
        <w:rPr>
          <w:spacing w:val="-6"/>
          <w:sz w:val="18"/>
        </w:rPr>
        <w:t> </w:t>
      </w:r>
      <w:r>
        <w:rPr>
          <w:sz w:val="18"/>
        </w:rPr>
        <w:t>28002-2011</w:t>
      </w:r>
    </w:p>
    <w:p>
      <w:pPr>
        <w:pStyle w:val="BodyText"/>
        <w:spacing w:before="0"/>
        <w:rPr>
          <w:sz w:val="20"/>
        </w:rPr>
      </w:pPr>
    </w:p>
    <w:p>
      <w:pPr>
        <w:pStyle w:val="BodyText"/>
        <w:spacing w:before="7"/>
        <w:rPr>
          <w:sz w:val="13"/>
        </w:rPr>
      </w:pPr>
      <w:r>
        <w:rPr/>
        <w:pict>
          <v:line style="position:absolute;mso-position-horizontal-relative:page;mso-position-vertical-relative:paragraph;z-index:-251658240;mso-wrap-distance-left:0;mso-wrap-distance-right:0" from="70.900002pt,11.14126pt" to="552.900002pt,11.14126pt" stroked="true" strokeweight="1pt" strokecolor="#800007">
            <v:stroke dashstyle="solid"/>
            <w10:wrap type="topAndBottom"/>
          </v:line>
        </w:pict>
      </w:r>
    </w:p>
    <w:p>
      <w:pPr>
        <w:pStyle w:val="BodyText"/>
        <w:spacing w:before="0"/>
        <w:rPr>
          <w:sz w:val="18"/>
        </w:rPr>
      </w:pPr>
    </w:p>
    <w:p>
      <w:pPr>
        <w:pStyle w:val="BodyText"/>
        <w:spacing w:before="0"/>
        <w:rPr>
          <w:sz w:val="18"/>
        </w:rPr>
      </w:pPr>
    </w:p>
    <w:p>
      <w:pPr>
        <w:pStyle w:val="BodyText"/>
        <w:spacing w:before="0"/>
        <w:rPr>
          <w:sz w:val="18"/>
        </w:rPr>
      </w:pPr>
    </w:p>
    <w:p>
      <w:pPr>
        <w:pStyle w:val="BodyText"/>
        <w:spacing w:before="0"/>
        <w:rPr>
          <w:sz w:val="18"/>
        </w:rPr>
      </w:pPr>
    </w:p>
    <w:p>
      <w:pPr>
        <w:pStyle w:val="BodyText"/>
        <w:spacing w:before="0"/>
        <w:rPr>
          <w:sz w:val="18"/>
        </w:rPr>
      </w:pPr>
    </w:p>
    <w:p>
      <w:pPr>
        <w:pStyle w:val="BodyText"/>
        <w:spacing w:before="0"/>
        <w:rPr>
          <w:sz w:val="18"/>
        </w:rPr>
      </w:pPr>
    </w:p>
    <w:p>
      <w:pPr>
        <w:pStyle w:val="BodyText"/>
        <w:spacing w:before="0"/>
        <w:rPr>
          <w:sz w:val="18"/>
        </w:rPr>
      </w:pPr>
    </w:p>
    <w:p>
      <w:pPr>
        <w:pStyle w:val="BodyText"/>
        <w:spacing w:before="0"/>
        <w:rPr>
          <w:sz w:val="18"/>
        </w:rPr>
      </w:pPr>
    </w:p>
    <w:p>
      <w:pPr>
        <w:pStyle w:val="BodyText"/>
        <w:spacing w:before="12"/>
        <w:rPr>
          <w:sz w:val="20"/>
        </w:rPr>
      </w:pPr>
    </w:p>
    <w:p>
      <w:pPr>
        <w:spacing w:line="244" w:lineRule="auto" w:before="0"/>
        <w:ind w:left="2378" w:right="2445" w:firstLine="0"/>
        <w:jc w:val="center"/>
        <w:rPr>
          <w:rFonts w:ascii="黑体" w:eastAsia="黑体" w:hint="eastAsia"/>
          <w:sz w:val="52"/>
        </w:rPr>
      </w:pPr>
      <w:r>
        <w:rPr>
          <w:rFonts w:ascii="黑体" w:eastAsia="黑体" w:hint="eastAsia"/>
          <w:sz w:val="52"/>
        </w:rPr>
        <w:t>职业健康安全管理体系要求及使用指南</w:t>
      </w:r>
    </w:p>
    <w:p>
      <w:pPr>
        <w:spacing w:before="405"/>
        <w:ind w:left="0" w:right="68" w:firstLine="0"/>
        <w:jc w:val="center"/>
        <w:rPr>
          <w:rFonts w:ascii="黑体"/>
          <w:sz w:val="28"/>
        </w:rPr>
      </w:pPr>
      <w:r>
        <w:rPr>
          <w:rFonts w:ascii="黑体"/>
          <w:sz w:val="28"/>
        </w:rPr>
        <w:t>Occupational health and safety management systems</w:t>
      </w:r>
    </w:p>
    <w:p>
      <w:pPr>
        <w:spacing w:before="39"/>
        <w:ind w:left="2377" w:right="2445" w:firstLine="0"/>
        <w:jc w:val="center"/>
        <w:rPr>
          <w:rFonts w:ascii="黑体" w:hAnsi="黑体"/>
          <w:sz w:val="28"/>
        </w:rPr>
      </w:pPr>
      <w:r>
        <w:rPr>
          <w:rFonts w:ascii="Times New Roman" w:hAnsi="Times New Roman"/>
          <w:sz w:val="28"/>
        </w:rPr>
        <w:t>—</w:t>
      </w:r>
      <w:r>
        <w:rPr>
          <w:rFonts w:ascii="黑体" w:hAnsi="黑体"/>
          <w:sz w:val="28"/>
        </w:rPr>
        <w:t>Requirements with guidance for use</w:t>
      </w:r>
    </w:p>
    <w:p>
      <w:pPr>
        <w:pStyle w:val="BodyText"/>
        <w:spacing w:before="2"/>
        <w:rPr>
          <w:rFonts w:ascii="黑体"/>
          <w:sz w:val="32"/>
        </w:rPr>
      </w:pPr>
    </w:p>
    <w:p>
      <w:pPr>
        <w:spacing w:before="0"/>
        <w:ind w:left="2376" w:right="2445" w:firstLine="0"/>
        <w:jc w:val="center"/>
        <w:rPr>
          <w:rFonts w:ascii="黑体" w:eastAsia="黑体" w:hint="eastAsia"/>
          <w:sz w:val="28"/>
        </w:rPr>
      </w:pPr>
      <w:r>
        <w:rPr>
          <w:rFonts w:ascii="黑体" w:eastAsia="黑体" w:hint="eastAsia"/>
          <w:sz w:val="28"/>
        </w:rPr>
        <w:t>（ISO 45001:2018，IDT）</w:t>
      </w:r>
    </w:p>
    <w:p>
      <w:pPr>
        <w:pStyle w:val="BodyText"/>
        <w:spacing w:before="0"/>
        <w:rPr>
          <w:rFonts w:ascii="黑体"/>
          <w:sz w:val="28"/>
        </w:rPr>
      </w:pPr>
    </w:p>
    <w:p>
      <w:pPr>
        <w:pStyle w:val="BodyText"/>
        <w:spacing w:before="0"/>
        <w:rPr>
          <w:rFonts w:ascii="黑体"/>
          <w:sz w:val="28"/>
        </w:rPr>
      </w:pPr>
    </w:p>
    <w:p>
      <w:pPr>
        <w:pStyle w:val="BodyText"/>
        <w:spacing w:before="0"/>
        <w:rPr>
          <w:rFonts w:ascii="黑体"/>
          <w:sz w:val="28"/>
        </w:rPr>
      </w:pPr>
    </w:p>
    <w:p>
      <w:pPr>
        <w:pStyle w:val="BodyText"/>
        <w:spacing w:before="0"/>
        <w:rPr>
          <w:rFonts w:ascii="黑体"/>
          <w:sz w:val="28"/>
        </w:rPr>
      </w:pPr>
    </w:p>
    <w:p>
      <w:pPr>
        <w:pStyle w:val="BodyText"/>
        <w:spacing w:before="0"/>
        <w:rPr>
          <w:rFonts w:ascii="黑体"/>
          <w:sz w:val="28"/>
        </w:rPr>
      </w:pPr>
    </w:p>
    <w:p>
      <w:pPr>
        <w:pStyle w:val="BodyText"/>
        <w:spacing w:before="0"/>
        <w:rPr>
          <w:rFonts w:ascii="黑体"/>
          <w:sz w:val="28"/>
        </w:rPr>
      </w:pPr>
    </w:p>
    <w:p>
      <w:pPr>
        <w:pStyle w:val="BodyText"/>
        <w:spacing w:before="0"/>
        <w:rPr>
          <w:rFonts w:ascii="黑体"/>
          <w:sz w:val="28"/>
        </w:rPr>
      </w:pPr>
    </w:p>
    <w:p>
      <w:pPr>
        <w:pStyle w:val="BodyText"/>
        <w:spacing w:before="0"/>
        <w:rPr>
          <w:rFonts w:ascii="黑体"/>
          <w:sz w:val="28"/>
        </w:rPr>
      </w:pPr>
    </w:p>
    <w:p>
      <w:pPr>
        <w:pStyle w:val="BodyText"/>
        <w:spacing w:before="0"/>
        <w:rPr>
          <w:rFonts w:ascii="黑体"/>
          <w:sz w:val="28"/>
        </w:rPr>
      </w:pPr>
    </w:p>
    <w:p>
      <w:pPr>
        <w:pStyle w:val="BodyText"/>
        <w:spacing w:before="0"/>
        <w:rPr>
          <w:rFonts w:ascii="黑体"/>
          <w:sz w:val="28"/>
        </w:rPr>
      </w:pPr>
    </w:p>
    <w:p>
      <w:pPr>
        <w:pStyle w:val="BodyText"/>
        <w:spacing w:before="0"/>
        <w:rPr>
          <w:rFonts w:ascii="黑体"/>
          <w:sz w:val="28"/>
        </w:rPr>
      </w:pPr>
    </w:p>
    <w:p>
      <w:pPr>
        <w:pStyle w:val="BodyText"/>
        <w:spacing w:before="0"/>
        <w:rPr>
          <w:rFonts w:ascii="黑体"/>
          <w:sz w:val="28"/>
        </w:rPr>
      </w:pPr>
    </w:p>
    <w:p>
      <w:pPr>
        <w:pStyle w:val="BodyText"/>
        <w:spacing w:before="8"/>
        <w:rPr>
          <w:rFonts w:ascii="黑体"/>
          <w:sz w:val="22"/>
        </w:rPr>
      </w:pPr>
    </w:p>
    <w:p>
      <w:pPr>
        <w:tabs>
          <w:tab w:pos="7979" w:val="left" w:leader="none"/>
        </w:tabs>
        <w:spacing w:before="0" w:after="13"/>
        <w:ind w:left="278" w:right="0" w:firstLine="0"/>
        <w:jc w:val="left"/>
        <w:rPr>
          <w:rFonts w:ascii="黑体" w:eastAsia="黑体" w:hint="eastAsia"/>
          <w:sz w:val="28"/>
        </w:rPr>
      </w:pPr>
      <w:r>
        <w:rPr>
          <w:rFonts w:ascii="Times New Roman" w:eastAsia="Times New Roman"/>
          <w:sz w:val="28"/>
        </w:rPr>
        <w:t>2020-03-06</w:t>
      </w:r>
      <w:r>
        <w:rPr>
          <w:rFonts w:ascii="Times New Roman" w:eastAsia="Times New Roman"/>
          <w:spacing w:val="-3"/>
          <w:sz w:val="28"/>
        </w:rPr>
        <w:t> </w:t>
      </w:r>
      <w:r>
        <w:rPr>
          <w:rFonts w:ascii="黑体" w:eastAsia="黑体" w:hint="eastAsia"/>
          <w:sz w:val="28"/>
        </w:rPr>
        <w:t>发布</w:t>
        <w:tab/>
      </w:r>
      <w:r>
        <w:rPr>
          <w:rFonts w:ascii="Times New Roman" w:eastAsia="Times New Roman"/>
          <w:sz w:val="28"/>
        </w:rPr>
        <w:t>2020-03-06</w:t>
      </w:r>
      <w:r>
        <w:rPr>
          <w:rFonts w:ascii="Times New Roman" w:eastAsia="Times New Roman"/>
          <w:spacing w:val="-3"/>
          <w:sz w:val="28"/>
        </w:rPr>
        <w:t> </w:t>
      </w:r>
      <w:r>
        <w:rPr>
          <w:rFonts w:ascii="黑体" w:eastAsia="黑体" w:hint="eastAsia"/>
          <w:sz w:val="28"/>
        </w:rPr>
        <w:t>实施</w:t>
      </w:r>
    </w:p>
    <w:p>
      <w:pPr>
        <w:pStyle w:val="BodyText"/>
        <w:spacing w:line="20" w:lineRule="exact" w:before="0"/>
        <w:ind w:left="268"/>
        <w:rPr>
          <w:rFonts w:ascii="黑体"/>
          <w:sz w:val="2"/>
        </w:rPr>
      </w:pPr>
      <w:r>
        <w:rPr>
          <w:rFonts w:ascii="黑体"/>
          <w:sz w:val="2"/>
        </w:rPr>
        <w:pict>
          <v:group style="width:482pt;height:1pt;mso-position-horizontal-relative:char;mso-position-vertical-relative:line" coordorigin="0,0" coordsize="9640,20">
            <v:line style="position:absolute" from="0,10" to="9640,10" stroked="true" strokeweight="1pt" strokecolor="#800007">
              <v:stroke dashstyle="solid"/>
            </v:line>
          </v:group>
        </w:pict>
      </w:r>
      <w:r>
        <w:rPr>
          <w:rFonts w:ascii="黑体"/>
          <w:sz w:val="2"/>
        </w:rPr>
      </w:r>
    </w:p>
    <w:p>
      <w:pPr>
        <w:spacing w:line="421" w:lineRule="exact" w:before="68"/>
        <w:ind w:left="1416" w:right="0" w:firstLine="0"/>
        <w:jc w:val="left"/>
        <w:rPr>
          <w:b/>
          <w:sz w:val="36"/>
        </w:rPr>
      </w:pPr>
      <w:r>
        <w:rPr>
          <w:b/>
          <w:w w:val="90"/>
          <w:sz w:val="36"/>
        </w:rPr>
        <w:t>中 华 人 民 共 和 国 国 家 市 场 监 督 管 理 总 局</w:t>
      </w:r>
    </w:p>
    <w:p>
      <w:pPr>
        <w:tabs>
          <w:tab w:pos="8469" w:val="left" w:leader="none"/>
        </w:tabs>
        <w:spacing w:line="541" w:lineRule="exact" w:before="0"/>
        <w:ind w:left="1408" w:right="0" w:firstLine="0"/>
        <w:jc w:val="left"/>
        <w:rPr>
          <w:rFonts w:ascii="黑体" w:eastAsia="黑体" w:hint="eastAsia"/>
          <w:sz w:val="28"/>
        </w:rPr>
      </w:pPr>
      <w:r>
        <w:rPr>
          <w:b/>
          <w:sz w:val="36"/>
        </w:rPr>
        <w:t>中</w:t>
      </w:r>
      <w:r>
        <w:rPr>
          <w:b/>
          <w:spacing w:val="25"/>
          <w:sz w:val="36"/>
        </w:rPr>
        <w:t> </w:t>
      </w:r>
      <w:r>
        <w:rPr>
          <w:b/>
          <w:sz w:val="36"/>
        </w:rPr>
        <w:t>国</w:t>
      </w:r>
      <w:r>
        <w:rPr>
          <w:b/>
          <w:spacing w:val="28"/>
          <w:sz w:val="36"/>
        </w:rPr>
        <w:t> </w:t>
      </w:r>
      <w:r>
        <w:rPr>
          <w:b/>
          <w:sz w:val="36"/>
        </w:rPr>
        <w:t>国</w:t>
      </w:r>
      <w:r>
        <w:rPr>
          <w:b/>
          <w:spacing w:val="25"/>
          <w:sz w:val="36"/>
        </w:rPr>
        <w:t> </w:t>
      </w:r>
      <w:r>
        <w:rPr>
          <w:b/>
          <w:sz w:val="36"/>
        </w:rPr>
        <w:t>家</w:t>
      </w:r>
      <w:r>
        <w:rPr>
          <w:b/>
          <w:spacing w:val="26"/>
          <w:sz w:val="36"/>
        </w:rPr>
        <w:t> </w:t>
      </w:r>
      <w:r>
        <w:rPr>
          <w:b/>
          <w:sz w:val="36"/>
        </w:rPr>
        <w:t>标</w:t>
      </w:r>
      <w:r>
        <w:rPr>
          <w:b/>
          <w:spacing w:val="26"/>
          <w:sz w:val="36"/>
        </w:rPr>
        <w:t> </w:t>
      </w:r>
      <w:r>
        <w:rPr>
          <w:b/>
          <w:sz w:val="36"/>
        </w:rPr>
        <w:t>准</w:t>
      </w:r>
      <w:r>
        <w:rPr>
          <w:b/>
          <w:spacing w:val="27"/>
          <w:sz w:val="36"/>
        </w:rPr>
        <w:t> </w:t>
      </w:r>
      <w:r>
        <w:rPr>
          <w:b/>
          <w:sz w:val="36"/>
        </w:rPr>
        <w:t>化</w:t>
      </w:r>
      <w:r>
        <w:rPr>
          <w:b/>
          <w:spacing w:val="26"/>
          <w:sz w:val="36"/>
        </w:rPr>
        <w:t> </w:t>
      </w:r>
      <w:r>
        <w:rPr>
          <w:b/>
          <w:sz w:val="36"/>
        </w:rPr>
        <w:t>管</w:t>
      </w:r>
      <w:r>
        <w:rPr>
          <w:b/>
          <w:spacing w:val="26"/>
          <w:sz w:val="36"/>
        </w:rPr>
        <w:t> </w:t>
      </w:r>
      <w:r>
        <w:rPr>
          <w:b/>
          <w:sz w:val="36"/>
        </w:rPr>
        <w:t>理</w:t>
      </w:r>
      <w:r>
        <w:rPr>
          <w:b/>
          <w:spacing w:val="25"/>
          <w:sz w:val="36"/>
        </w:rPr>
        <w:t> </w:t>
      </w:r>
      <w:r>
        <w:rPr>
          <w:b/>
          <w:sz w:val="36"/>
        </w:rPr>
        <w:t>委</w:t>
      </w:r>
      <w:r>
        <w:rPr>
          <w:b/>
          <w:spacing w:val="28"/>
          <w:sz w:val="36"/>
        </w:rPr>
        <w:t> </w:t>
      </w:r>
      <w:r>
        <w:rPr>
          <w:b/>
          <w:sz w:val="36"/>
        </w:rPr>
        <w:t>员</w:t>
      </w:r>
      <w:r>
        <w:rPr>
          <w:b/>
          <w:spacing w:val="26"/>
          <w:sz w:val="36"/>
        </w:rPr>
        <w:t> </w:t>
      </w:r>
      <w:r>
        <w:rPr>
          <w:b/>
          <w:sz w:val="36"/>
        </w:rPr>
        <w:t>会</w:t>
        <w:tab/>
      </w:r>
      <w:r>
        <w:rPr>
          <w:rFonts w:ascii="黑体" w:eastAsia="黑体" w:hint="eastAsia"/>
          <w:spacing w:val="43"/>
          <w:position w:val="20"/>
          <w:sz w:val="28"/>
        </w:rPr>
        <w:t>发</w:t>
      </w:r>
      <w:r>
        <w:rPr>
          <w:rFonts w:ascii="黑体" w:eastAsia="黑体" w:hint="eastAsia"/>
          <w:position w:val="20"/>
          <w:sz w:val="28"/>
        </w:rPr>
        <w:t>布</w:t>
      </w:r>
    </w:p>
    <w:p>
      <w:pPr>
        <w:spacing w:after="0" w:line="541" w:lineRule="exact"/>
        <w:jc w:val="left"/>
        <w:rPr>
          <w:rFonts w:ascii="黑体" w:eastAsia="黑体" w:hint="eastAsia"/>
          <w:sz w:val="28"/>
        </w:rPr>
        <w:sectPr>
          <w:type w:val="continuous"/>
          <w:pgSz w:w="11910" w:h="16840"/>
          <w:pgMar w:top="520" w:bottom="280" w:left="1140" w:right="740"/>
        </w:sectPr>
      </w:pPr>
    </w:p>
    <w:p>
      <w:pPr>
        <w:pStyle w:val="BodyText"/>
        <w:spacing w:before="4"/>
        <w:rPr>
          <w:rFonts w:ascii="Times New Roman"/>
          <w:sz w:val="17"/>
        </w:rPr>
      </w:pPr>
    </w:p>
    <w:p>
      <w:pPr>
        <w:spacing w:after="0"/>
        <w:rPr>
          <w:rFonts w:ascii="Times New Roman"/>
          <w:sz w:val="17"/>
        </w:rPr>
        <w:sectPr>
          <w:pgSz w:w="11910" w:h="16840"/>
          <w:pgMar w:top="1580" w:bottom="280" w:left="1140" w:right="74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7"/>
        </w:rPr>
      </w:pPr>
    </w:p>
    <w:p>
      <w:pPr>
        <w:pStyle w:val="Heading1"/>
        <w:tabs>
          <w:tab w:pos="959" w:val="left" w:leader="none"/>
        </w:tabs>
      </w:pPr>
      <w:bookmarkStart w:name="目    次" w:id="1"/>
      <w:bookmarkEnd w:id="1"/>
      <w:r>
        <w:rPr/>
      </w:r>
      <w:r>
        <w:rPr/>
        <w:t>目</w:t>
        <w:tab/>
        <w:t>次</w:t>
      </w:r>
    </w:p>
    <w:p>
      <w:pPr>
        <w:pStyle w:val="BodyText"/>
        <w:tabs>
          <w:tab w:pos="9622" w:val="right" w:leader="dot"/>
        </w:tabs>
        <w:spacing w:before="584"/>
        <w:ind w:left="278"/>
      </w:pPr>
      <w:hyperlink w:history="true" w:anchor="_bookmark0">
        <w:r>
          <w:rPr/>
          <w:t>前言</w:t>
          <w:tab/>
          <w:t>III</w:t>
        </w:r>
      </w:hyperlink>
    </w:p>
    <w:p>
      <w:pPr>
        <w:pStyle w:val="BodyText"/>
        <w:tabs>
          <w:tab w:pos="9622" w:val="right" w:leader="dot"/>
        </w:tabs>
        <w:ind w:left="278"/>
      </w:pPr>
      <w:hyperlink w:history="true" w:anchor="_bookmark1">
        <w:r>
          <w:rPr/>
          <w:t>引言</w:t>
          <w:tab/>
          <w:t>IV</w:t>
        </w:r>
      </w:hyperlink>
    </w:p>
    <w:p>
      <w:pPr>
        <w:pStyle w:val="ListParagraph"/>
        <w:numPr>
          <w:ilvl w:val="0"/>
          <w:numId w:val="1"/>
        </w:numPr>
        <w:tabs>
          <w:tab w:pos="488" w:val="left" w:leader="none"/>
          <w:tab w:pos="9622" w:val="right" w:leader="dot"/>
        </w:tabs>
        <w:spacing w:line="240" w:lineRule="auto" w:before="43" w:after="0"/>
        <w:ind w:left="487" w:right="0" w:hanging="210"/>
        <w:jc w:val="left"/>
        <w:rPr>
          <w:sz w:val="21"/>
        </w:rPr>
      </w:pPr>
      <w:hyperlink w:history="true" w:anchor="_bookmark3">
        <w:r>
          <w:rPr>
            <w:sz w:val="21"/>
          </w:rPr>
          <w:t>范围</w:t>
          <w:tab/>
          <w:t>1</w:t>
        </w:r>
      </w:hyperlink>
    </w:p>
    <w:p>
      <w:pPr>
        <w:pStyle w:val="ListParagraph"/>
        <w:numPr>
          <w:ilvl w:val="0"/>
          <w:numId w:val="1"/>
        </w:numPr>
        <w:tabs>
          <w:tab w:pos="488" w:val="left" w:leader="none"/>
          <w:tab w:pos="9622" w:val="right" w:leader="dot"/>
        </w:tabs>
        <w:spacing w:line="240" w:lineRule="auto" w:before="42" w:after="0"/>
        <w:ind w:left="487" w:right="0" w:hanging="210"/>
        <w:jc w:val="left"/>
        <w:rPr>
          <w:sz w:val="21"/>
        </w:rPr>
      </w:pPr>
      <w:hyperlink w:history="true" w:anchor="_bookmark4">
        <w:r>
          <w:rPr>
            <w:sz w:val="21"/>
          </w:rPr>
          <w:t>规范性引用文件</w:t>
          <w:tab/>
          <w:t>1</w:t>
        </w:r>
      </w:hyperlink>
    </w:p>
    <w:p>
      <w:pPr>
        <w:pStyle w:val="ListParagraph"/>
        <w:numPr>
          <w:ilvl w:val="0"/>
          <w:numId w:val="1"/>
        </w:numPr>
        <w:tabs>
          <w:tab w:pos="488" w:val="left" w:leader="none"/>
          <w:tab w:pos="9622" w:val="right" w:leader="dot"/>
        </w:tabs>
        <w:spacing w:line="240" w:lineRule="auto" w:before="43" w:after="0"/>
        <w:ind w:left="487" w:right="0" w:hanging="210"/>
        <w:jc w:val="left"/>
        <w:rPr>
          <w:sz w:val="21"/>
        </w:rPr>
      </w:pPr>
      <w:hyperlink w:history="true" w:anchor="_bookmark5">
        <w:r>
          <w:rPr>
            <w:sz w:val="21"/>
          </w:rPr>
          <w:t>术语和定义</w:t>
          <w:tab/>
          <w:t>1</w:t>
        </w:r>
      </w:hyperlink>
    </w:p>
    <w:p>
      <w:pPr>
        <w:pStyle w:val="ListParagraph"/>
        <w:numPr>
          <w:ilvl w:val="0"/>
          <w:numId w:val="1"/>
        </w:numPr>
        <w:tabs>
          <w:tab w:pos="488" w:val="left" w:leader="none"/>
          <w:tab w:pos="9622" w:val="right" w:leader="dot"/>
        </w:tabs>
        <w:spacing w:line="240" w:lineRule="auto" w:before="43" w:after="0"/>
        <w:ind w:left="487" w:right="0" w:hanging="210"/>
        <w:jc w:val="left"/>
        <w:rPr>
          <w:sz w:val="21"/>
        </w:rPr>
      </w:pPr>
      <w:hyperlink w:history="true" w:anchor="_bookmark6">
        <w:r>
          <w:rPr>
            <w:sz w:val="21"/>
          </w:rPr>
          <w:t>组织所处的环境</w:t>
          <w:tab/>
          <w:t>7</w:t>
        </w:r>
      </w:hyperlink>
    </w:p>
    <w:p>
      <w:pPr>
        <w:pStyle w:val="ListParagraph"/>
        <w:numPr>
          <w:ilvl w:val="1"/>
          <w:numId w:val="1"/>
        </w:numPr>
        <w:tabs>
          <w:tab w:pos="699" w:val="left" w:leader="none"/>
          <w:tab w:pos="9622" w:val="right" w:leader="dot"/>
        </w:tabs>
        <w:spacing w:line="240" w:lineRule="auto" w:before="43" w:after="0"/>
        <w:ind w:left="698" w:right="0" w:hanging="421"/>
        <w:jc w:val="left"/>
        <w:rPr>
          <w:sz w:val="21"/>
        </w:rPr>
      </w:pPr>
      <w:hyperlink w:history="true" w:anchor="_bookmark7">
        <w:r>
          <w:rPr>
            <w:sz w:val="21"/>
          </w:rPr>
          <w:t>理解组织及其所处的环境</w:t>
          <w:tab/>
          <w:t>7</w:t>
        </w:r>
      </w:hyperlink>
    </w:p>
    <w:p>
      <w:pPr>
        <w:pStyle w:val="ListParagraph"/>
        <w:numPr>
          <w:ilvl w:val="1"/>
          <w:numId w:val="1"/>
        </w:numPr>
        <w:tabs>
          <w:tab w:pos="699" w:val="left" w:leader="none"/>
          <w:tab w:pos="9622" w:val="right" w:leader="dot"/>
        </w:tabs>
        <w:spacing w:line="240" w:lineRule="auto" w:before="43" w:after="0"/>
        <w:ind w:left="698" w:right="0" w:hanging="421"/>
        <w:jc w:val="left"/>
        <w:rPr>
          <w:sz w:val="21"/>
        </w:rPr>
      </w:pPr>
      <w:hyperlink w:history="true" w:anchor="_bookmark8">
        <w:r>
          <w:rPr>
            <w:sz w:val="21"/>
          </w:rPr>
          <w:t>理解工作人员和其他相关方的需求和期望</w:t>
          <w:tab/>
          <w:t>7</w:t>
        </w:r>
      </w:hyperlink>
    </w:p>
    <w:p>
      <w:pPr>
        <w:pStyle w:val="ListParagraph"/>
        <w:numPr>
          <w:ilvl w:val="1"/>
          <w:numId w:val="1"/>
        </w:numPr>
        <w:tabs>
          <w:tab w:pos="699" w:val="left" w:leader="none"/>
          <w:tab w:pos="9622" w:val="right" w:leader="dot"/>
        </w:tabs>
        <w:spacing w:line="240" w:lineRule="auto" w:before="43" w:after="0"/>
        <w:ind w:left="698" w:right="0" w:hanging="421"/>
        <w:jc w:val="left"/>
        <w:rPr>
          <w:sz w:val="21"/>
        </w:rPr>
      </w:pPr>
      <w:hyperlink w:history="true" w:anchor="_bookmark9">
        <w:r>
          <w:rPr>
            <w:sz w:val="21"/>
          </w:rPr>
          <w:t>确定职业健康安全管理体系的范围</w:t>
          <w:tab/>
          <w:t>7</w:t>
        </w:r>
      </w:hyperlink>
    </w:p>
    <w:p>
      <w:pPr>
        <w:pStyle w:val="ListParagraph"/>
        <w:numPr>
          <w:ilvl w:val="1"/>
          <w:numId w:val="1"/>
        </w:numPr>
        <w:tabs>
          <w:tab w:pos="699" w:val="left" w:leader="none"/>
          <w:tab w:pos="9622" w:val="right" w:leader="dot"/>
        </w:tabs>
        <w:spacing w:line="240" w:lineRule="auto" w:before="43" w:after="0"/>
        <w:ind w:left="698" w:right="0" w:hanging="421"/>
        <w:jc w:val="left"/>
        <w:rPr>
          <w:sz w:val="21"/>
        </w:rPr>
      </w:pPr>
      <w:hyperlink w:history="true" w:anchor="_bookmark10">
        <w:r>
          <w:rPr>
            <w:sz w:val="21"/>
          </w:rPr>
          <w:t>职业健康安全管理体系</w:t>
          <w:tab/>
          <w:t>7</w:t>
        </w:r>
      </w:hyperlink>
    </w:p>
    <w:p>
      <w:pPr>
        <w:pStyle w:val="ListParagraph"/>
        <w:numPr>
          <w:ilvl w:val="0"/>
          <w:numId w:val="1"/>
        </w:numPr>
        <w:tabs>
          <w:tab w:pos="488" w:val="left" w:leader="none"/>
          <w:tab w:pos="9622" w:val="right" w:leader="dot"/>
        </w:tabs>
        <w:spacing w:line="240" w:lineRule="auto" w:before="43" w:after="0"/>
        <w:ind w:left="487" w:right="0" w:hanging="210"/>
        <w:jc w:val="left"/>
        <w:rPr>
          <w:sz w:val="21"/>
        </w:rPr>
      </w:pPr>
      <w:hyperlink w:history="true" w:anchor="_bookmark11">
        <w:r>
          <w:rPr>
            <w:sz w:val="21"/>
          </w:rPr>
          <w:t>领导作用和工作人员参与</w:t>
          <w:tab/>
          <w:t>7</w:t>
        </w:r>
      </w:hyperlink>
    </w:p>
    <w:p>
      <w:pPr>
        <w:pStyle w:val="ListParagraph"/>
        <w:numPr>
          <w:ilvl w:val="1"/>
          <w:numId w:val="1"/>
        </w:numPr>
        <w:tabs>
          <w:tab w:pos="699" w:val="left" w:leader="none"/>
          <w:tab w:pos="9622" w:val="right" w:leader="dot"/>
        </w:tabs>
        <w:spacing w:line="240" w:lineRule="auto" w:before="43" w:after="0"/>
        <w:ind w:left="698" w:right="0" w:hanging="421"/>
        <w:jc w:val="left"/>
        <w:rPr>
          <w:sz w:val="21"/>
        </w:rPr>
      </w:pPr>
      <w:hyperlink w:history="true" w:anchor="_bookmark12">
        <w:r>
          <w:rPr>
            <w:sz w:val="21"/>
          </w:rPr>
          <w:t>领导作用和承诺</w:t>
          <w:tab/>
          <w:t>7</w:t>
        </w:r>
      </w:hyperlink>
    </w:p>
    <w:p>
      <w:pPr>
        <w:pStyle w:val="ListParagraph"/>
        <w:numPr>
          <w:ilvl w:val="1"/>
          <w:numId w:val="1"/>
        </w:numPr>
        <w:tabs>
          <w:tab w:pos="699" w:val="left" w:leader="none"/>
          <w:tab w:pos="9622" w:val="right" w:leader="dot"/>
        </w:tabs>
        <w:spacing w:line="240" w:lineRule="auto" w:before="43" w:after="0"/>
        <w:ind w:left="698" w:right="0" w:hanging="421"/>
        <w:jc w:val="left"/>
        <w:rPr>
          <w:sz w:val="21"/>
        </w:rPr>
      </w:pPr>
      <w:hyperlink w:history="true" w:anchor="_bookmark13">
        <w:r>
          <w:rPr>
            <w:sz w:val="21"/>
          </w:rPr>
          <w:t>职业健康安全方针</w:t>
          <w:tab/>
          <w:t>8</w:t>
        </w:r>
      </w:hyperlink>
    </w:p>
    <w:p>
      <w:pPr>
        <w:pStyle w:val="ListParagraph"/>
        <w:numPr>
          <w:ilvl w:val="1"/>
          <w:numId w:val="1"/>
        </w:numPr>
        <w:tabs>
          <w:tab w:pos="699" w:val="left" w:leader="none"/>
          <w:tab w:pos="9622" w:val="right" w:leader="dot"/>
        </w:tabs>
        <w:spacing w:line="240" w:lineRule="auto" w:before="43" w:after="0"/>
        <w:ind w:left="698" w:right="0" w:hanging="421"/>
        <w:jc w:val="left"/>
        <w:rPr>
          <w:sz w:val="21"/>
        </w:rPr>
      </w:pPr>
      <w:hyperlink w:history="true" w:anchor="_bookmark14">
        <w:r>
          <w:rPr>
            <w:sz w:val="21"/>
          </w:rPr>
          <w:t>组织的角色、职责和权限</w:t>
          <w:tab/>
          <w:t>8</w:t>
        </w:r>
      </w:hyperlink>
    </w:p>
    <w:p>
      <w:pPr>
        <w:pStyle w:val="ListParagraph"/>
        <w:numPr>
          <w:ilvl w:val="1"/>
          <w:numId w:val="1"/>
        </w:numPr>
        <w:tabs>
          <w:tab w:pos="699" w:val="left" w:leader="none"/>
          <w:tab w:pos="9622" w:val="right" w:leader="dot"/>
        </w:tabs>
        <w:spacing w:line="240" w:lineRule="auto" w:before="43" w:after="0"/>
        <w:ind w:left="698" w:right="0" w:hanging="421"/>
        <w:jc w:val="left"/>
        <w:rPr>
          <w:sz w:val="21"/>
        </w:rPr>
      </w:pPr>
      <w:hyperlink w:history="true" w:anchor="_bookmark15">
        <w:r>
          <w:rPr>
            <w:sz w:val="21"/>
          </w:rPr>
          <w:t>工作人员的协商和参与</w:t>
          <w:tab/>
          <w:t>8</w:t>
        </w:r>
      </w:hyperlink>
    </w:p>
    <w:p>
      <w:pPr>
        <w:pStyle w:val="ListParagraph"/>
        <w:numPr>
          <w:ilvl w:val="0"/>
          <w:numId w:val="1"/>
        </w:numPr>
        <w:tabs>
          <w:tab w:pos="488" w:val="left" w:leader="none"/>
          <w:tab w:pos="9622" w:val="right" w:leader="dot"/>
        </w:tabs>
        <w:spacing w:line="240" w:lineRule="auto" w:before="43" w:after="0"/>
        <w:ind w:left="487" w:right="0" w:hanging="210"/>
        <w:jc w:val="left"/>
        <w:rPr>
          <w:sz w:val="21"/>
        </w:rPr>
      </w:pPr>
      <w:hyperlink w:history="true" w:anchor="_bookmark16">
        <w:r>
          <w:rPr>
            <w:sz w:val="21"/>
          </w:rPr>
          <w:t>策划</w:t>
          <w:tab/>
          <w:t>9</w:t>
        </w:r>
      </w:hyperlink>
    </w:p>
    <w:p>
      <w:pPr>
        <w:pStyle w:val="ListParagraph"/>
        <w:numPr>
          <w:ilvl w:val="1"/>
          <w:numId w:val="1"/>
        </w:numPr>
        <w:tabs>
          <w:tab w:pos="699" w:val="left" w:leader="none"/>
          <w:tab w:pos="9622" w:val="right" w:leader="dot"/>
        </w:tabs>
        <w:spacing w:line="240" w:lineRule="auto" w:before="43" w:after="0"/>
        <w:ind w:left="698" w:right="0" w:hanging="421"/>
        <w:jc w:val="left"/>
        <w:rPr>
          <w:sz w:val="21"/>
        </w:rPr>
      </w:pPr>
      <w:hyperlink w:history="true" w:anchor="_bookmark17">
        <w:r>
          <w:rPr>
            <w:sz w:val="21"/>
          </w:rPr>
          <w:t>应对风险和机遇的措施</w:t>
          <w:tab/>
          <w:t>9</w:t>
        </w:r>
      </w:hyperlink>
    </w:p>
    <w:p>
      <w:pPr>
        <w:pStyle w:val="ListParagraph"/>
        <w:numPr>
          <w:ilvl w:val="2"/>
          <w:numId w:val="1"/>
        </w:numPr>
        <w:tabs>
          <w:tab w:pos="908" w:val="left" w:leader="none"/>
          <w:tab w:pos="9622" w:val="right" w:leader="dot"/>
        </w:tabs>
        <w:spacing w:line="240" w:lineRule="auto" w:before="43" w:after="0"/>
        <w:ind w:left="907" w:right="0" w:hanging="630"/>
        <w:jc w:val="left"/>
        <w:rPr>
          <w:sz w:val="21"/>
        </w:rPr>
      </w:pPr>
      <w:hyperlink w:history="true" w:anchor="_bookmark18">
        <w:r>
          <w:rPr>
            <w:sz w:val="21"/>
          </w:rPr>
          <w:t>总则</w:t>
          <w:tab/>
          <w:t>9</w:t>
        </w:r>
      </w:hyperlink>
    </w:p>
    <w:p>
      <w:pPr>
        <w:pStyle w:val="ListParagraph"/>
        <w:numPr>
          <w:ilvl w:val="2"/>
          <w:numId w:val="1"/>
        </w:numPr>
        <w:tabs>
          <w:tab w:pos="908" w:val="left" w:leader="none"/>
          <w:tab w:pos="9622" w:val="right" w:leader="dot"/>
        </w:tabs>
        <w:spacing w:line="240" w:lineRule="auto" w:before="43" w:after="0"/>
        <w:ind w:left="907" w:right="0" w:hanging="630"/>
        <w:jc w:val="left"/>
        <w:rPr>
          <w:sz w:val="21"/>
        </w:rPr>
      </w:pPr>
      <w:hyperlink w:history="true" w:anchor="_bookmark19">
        <w:r>
          <w:rPr>
            <w:sz w:val="21"/>
          </w:rPr>
          <w:t>危险源辨识及风险和机遇的评价</w:t>
          <w:tab/>
          <w:t>9</w:t>
        </w:r>
      </w:hyperlink>
    </w:p>
    <w:p>
      <w:pPr>
        <w:pStyle w:val="ListParagraph"/>
        <w:numPr>
          <w:ilvl w:val="2"/>
          <w:numId w:val="1"/>
        </w:numPr>
        <w:tabs>
          <w:tab w:pos="908" w:val="left" w:leader="none"/>
          <w:tab w:pos="9622" w:val="right" w:leader="dot"/>
        </w:tabs>
        <w:spacing w:line="240" w:lineRule="auto" w:before="42" w:after="0"/>
        <w:ind w:left="907" w:right="0" w:hanging="630"/>
        <w:jc w:val="left"/>
        <w:rPr>
          <w:sz w:val="21"/>
        </w:rPr>
      </w:pPr>
      <w:hyperlink w:history="true" w:anchor="_bookmark20">
        <w:r>
          <w:rPr>
            <w:sz w:val="21"/>
          </w:rPr>
          <w:t>法律法规要求和其他要求的确定</w:t>
          <w:tab/>
          <w:t>10</w:t>
        </w:r>
      </w:hyperlink>
    </w:p>
    <w:p>
      <w:pPr>
        <w:pStyle w:val="ListParagraph"/>
        <w:numPr>
          <w:ilvl w:val="2"/>
          <w:numId w:val="1"/>
        </w:numPr>
        <w:tabs>
          <w:tab w:pos="908" w:val="left" w:leader="none"/>
          <w:tab w:pos="9622" w:val="right" w:leader="dot"/>
        </w:tabs>
        <w:spacing w:line="240" w:lineRule="auto" w:before="43" w:after="0"/>
        <w:ind w:left="907" w:right="0" w:hanging="630"/>
        <w:jc w:val="left"/>
        <w:rPr>
          <w:sz w:val="21"/>
        </w:rPr>
      </w:pPr>
      <w:hyperlink w:history="true" w:anchor="_bookmark21">
        <w:r>
          <w:rPr>
            <w:sz w:val="21"/>
          </w:rPr>
          <w:t>措施的策划</w:t>
          <w:tab/>
          <w:t>10</w:t>
        </w:r>
      </w:hyperlink>
    </w:p>
    <w:p>
      <w:pPr>
        <w:pStyle w:val="ListParagraph"/>
        <w:numPr>
          <w:ilvl w:val="1"/>
          <w:numId w:val="1"/>
        </w:numPr>
        <w:tabs>
          <w:tab w:pos="699" w:val="left" w:leader="none"/>
          <w:tab w:pos="9622" w:val="right" w:leader="dot"/>
        </w:tabs>
        <w:spacing w:line="240" w:lineRule="auto" w:before="43" w:after="0"/>
        <w:ind w:left="698" w:right="0" w:hanging="421"/>
        <w:jc w:val="left"/>
        <w:rPr>
          <w:sz w:val="21"/>
        </w:rPr>
      </w:pPr>
      <w:hyperlink w:history="true" w:anchor="_bookmark22">
        <w:r>
          <w:rPr>
            <w:sz w:val="21"/>
          </w:rPr>
          <w:t>职业健康安全目标及其实现的策划</w:t>
          <w:tab/>
          <w:t>11</w:t>
        </w:r>
      </w:hyperlink>
    </w:p>
    <w:p>
      <w:pPr>
        <w:pStyle w:val="ListParagraph"/>
        <w:numPr>
          <w:ilvl w:val="2"/>
          <w:numId w:val="1"/>
        </w:numPr>
        <w:tabs>
          <w:tab w:pos="908" w:val="left" w:leader="none"/>
          <w:tab w:pos="9622" w:val="right" w:leader="dot"/>
        </w:tabs>
        <w:spacing w:line="240" w:lineRule="auto" w:before="43" w:after="0"/>
        <w:ind w:left="907" w:right="0" w:hanging="630"/>
        <w:jc w:val="left"/>
        <w:rPr>
          <w:sz w:val="21"/>
        </w:rPr>
      </w:pPr>
      <w:hyperlink w:history="true" w:anchor="_bookmark23">
        <w:r>
          <w:rPr>
            <w:sz w:val="21"/>
          </w:rPr>
          <w:t>职业健康安全目标</w:t>
          <w:tab/>
          <w:t>11</w:t>
        </w:r>
      </w:hyperlink>
    </w:p>
    <w:p>
      <w:pPr>
        <w:pStyle w:val="ListParagraph"/>
        <w:numPr>
          <w:ilvl w:val="2"/>
          <w:numId w:val="1"/>
        </w:numPr>
        <w:tabs>
          <w:tab w:pos="908" w:val="left" w:leader="none"/>
          <w:tab w:pos="9622" w:val="right" w:leader="dot"/>
        </w:tabs>
        <w:spacing w:line="240" w:lineRule="auto" w:before="43" w:after="0"/>
        <w:ind w:left="907" w:right="0" w:hanging="630"/>
        <w:jc w:val="left"/>
        <w:rPr>
          <w:sz w:val="21"/>
        </w:rPr>
      </w:pPr>
      <w:hyperlink w:history="true" w:anchor="_bookmark24">
        <w:r>
          <w:rPr>
            <w:sz w:val="21"/>
          </w:rPr>
          <w:t>实现职业健康安全目标的策划</w:t>
          <w:tab/>
          <w:t>11</w:t>
        </w:r>
      </w:hyperlink>
    </w:p>
    <w:p>
      <w:pPr>
        <w:pStyle w:val="BodyText"/>
        <w:tabs>
          <w:tab w:pos="9622" w:val="right" w:leader="dot"/>
        </w:tabs>
        <w:ind w:left="278"/>
      </w:pPr>
      <w:hyperlink w:history="true" w:anchor="_bookmark25">
        <w:r>
          <w:rPr>
            <w:rFonts w:ascii="Times New Roman" w:eastAsia="Times New Roman"/>
          </w:rPr>
          <w:t>7</w:t>
        </w:r>
        <w:r>
          <w:rPr>
            <w:rFonts w:ascii="Times New Roman" w:eastAsia="Times New Roman"/>
            <w:spacing w:val="51"/>
          </w:rPr>
          <w:t> </w:t>
        </w:r>
        <w:r>
          <w:rPr/>
          <w:t>支持</w:t>
          <w:tab/>
          <w:t>11</w:t>
        </w:r>
      </w:hyperlink>
    </w:p>
    <w:p>
      <w:pPr>
        <w:pStyle w:val="BodyText"/>
        <w:tabs>
          <w:tab w:pos="9622" w:val="right" w:leader="dot"/>
        </w:tabs>
        <w:ind w:left="278"/>
      </w:pPr>
      <w:hyperlink w:history="true" w:anchor="_bookmark26">
        <w:r>
          <w:rPr>
            <w:rFonts w:ascii="黑体" w:eastAsia="黑体" w:hint="eastAsia"/>
          </w:rPr>
          <w:t>7.1</w:t>
        </w:r>
        <w:r>
          <w:rPr>
            <w:rFonts w:ascii="黑体" w:eastAsia="黑体" w:hint="eastAsia"/>
            <w:spacing w:val="-2"/>
          </w:rPr>
          <w:t> </w:t>
        </w:r>
        <w:r>
          <w:rPr/>
          <w:t>资源</w:t>
          <w:tab/>
          <w:t>11</w:t>
        </w:r>
      </w:hyperlink>
    </w:p>
    <w:p>
      <w:pPr>
        <w:pStyle w:val="BodyText"/>
        <w:tabs>
          <w:tab w:pos="9622" w:val="right" w:leader="dot"/>
        </w:tabs>
        <w:ind w:left="278"/>
      </w:pPr>
      <w:hyperlink w:history="true" w:anchor="_bookmark27">
        <w:r>
          <w:rPr>
            <w:rFonts w:ascii="黑体" w:eastAsia="黑体" w:hint="eastAsia"/>
          </w:rPr>
          <w:t>7.2</w:t>
        </w:r>
        <w:r>
          <w:rPr>
            <w:rFonts w:ascii="黑体" w:eastAsia="黑体" w:hint="eastAsia"/>
            <w:spacing w:val="-2"/>
          </w:rPr>
          <w:t> </w:t>
        </w:r>
        <w:r>
          <w:rPr/>
          <w:t>能力</w:t>
          <w:tab/>
          <w:t>11</w:t>
        </w:r>
      </w:hyperlink>
    </w:p>
    <w:p>
      <w:pPr>
        <w:pStyle w:val="BodyText"/>
        <w:tabs>
          <w:tab w:pos="9622" w:val="right" w:leader="dot"/>
        </w:tabs>
        <w:ind w:left="278"/>
      </w:pPr>
      <w:hyperlink w:history="true" w:anchor="_bookmark28">
        <w:r>
          <w:rPr>
            <w:rFonts w:ascii="黑体" w:eastAsia="黑体" w:hint="eastAsia"/>
          </w:rPr>
          <w:t>7.3</w:t>
        </w:r>
        <w:r>
          <w:rPr>
            <w:rFonts w:ascii="黑体" w:eastAsia="黑体" w:hint="eastAsia"/>
            <w:spacing w:val="-2"/>
          </w:rPr>
          <w:t> </w:t>
        </w:r>
        <w:r>
          <w:rPr/>
          <w:t>意识</w:t>
          <w:tab/>
          <w:t>11</w:t>
        </w:r>
      </w:hyperlink>
    </w:p>
    <w:p>
      <w:pPr>
        <w:pStyle w:val="BodyText"/>
        <w:tabs>
          <w:tab w:pos="9622" w:val="right" w:leader="dot"/>
        </w:tabs>
        <w:ind w:left="278"/>
      </w:pPr>
      <w:hyperlink w:history="true" w:anchor="_bookmark29">
        <w:r>
          <w:rPr>
            <w:rFonts w:ascii="黑体" w:eastAsia="黑体" w:hint="eastAsia"/>
          </w:rPr>
          <w:t>7.4</w:t>
        </w:r>
        <w:r>
          <w:rPr>
            <w:rFonts w:ascii="黑体" w:eastAsia="黑体" w:hint="eastAsia"/>
            <w:spacing w:val="-2"/>
          </w:rPr>
          <w:t> </w:t>
        </w:r>
        <w:r>
          <w:rPr/>
          <w:t>沟通</w:t>
          <w:tab/>
          <w:t>12</w:t>
        </w:r>
      </w:hyperlink>
    </w:p>
    <w:p>
      <w:pPr>
        <w:pStyle w:val="BodyText"/>
        <w:tabs>
          <w:tab w:pos="9622" w:val="right" w:leader="dot"/>
        </w:tabs>
        <w:ind w:left="278"/>
      </w:pPr>
      <w:hyperlink w:history="true" w:anchor="_bookmark30">
        <w:r>
          <w:rPr>
            <w:rFonts w:ascii="黑体" w:eastAsia="黑体" w:hint="eastAsia"/>
          </w:rPr>
          <w:t>7.4.1</w:t>
        </w:r>
        <w:r>
          <w:rPr>
            <w:rFonts w:ascii="黑体" w:eastAsia="黑体" w:hint="eastAsia"/>
            <w:spacing w:val="-2"/>
          </w:rPr>
          <w:t> </w:t>
        </w:r>
        <w:r>
          <w:rPr/>
          <w:t>总则</w:t>
          <w:tab/>
          <w:t>12</w:t>
        </w:r>
      </w:hyperlink>
    </w:p>
    <w:p>
      <w:pPr>
        <w:pStyle w:val="ListParagraph"/>
        <w:numPr>
          <w:ilvl w:val="2"/>
          <w:numId w:val="2"/>
        </w:numPr>
        <w:tabs>
          <w:tab w:pos="908" w:val="left" w:leader="none"/>
          <w:tab w:pos="9622" w:val="right" w:leader="dot"/>
        </w:tabs>
        <w:spacing w:line="240" w:lineRule="auto" w:before="43" w:after="0"/>
        <w:ind w:left="907" w:right="0" w:hanging="630"/>
        <w:jc w:val="left"/>
        <w:rPr>
          <w:sz w:val="21"/>
        </w:rPr>
      </w:pPr>
      <w:hyperlink w:history="true" w:anchor="_bookmark31">
        <w:r>
          <w:rPr>
            <w:sz w:val="21"/>
          </w:rPr>
          <w:t>内部沟通</w:t>
          <w:tab/>
          <w:t>12</w:t>
        </w:r>
      </w:hyperlink>
    </w:p>
    <w:p>
      <w:pPr>
        <w:pStyle w:val="ListParagraph"/>
        <w:numPr>
          <w:ilvl w:val="2"/>
          <w:numId w:val="2"/>
        </w:numPr>
        <w:tabs>
          <w:tab w:pos="908" w:val="left" w:leader="none"/>
          <w:tab w:pos="9622" w:val="right" w:leader="dot"/>
        </w:tabs>
        <w:spacing w:line="240" w:lineRule="auto" w:before="43" w:after="0"/>
        <w:ind w:left="907" w:right="0" w:hanging="630"/>
        <w:jc w:val="left"/>
        <w:rPr>
          <w:sz w:val="21"/>
        </w:rPr>
      </w:pPr>
      <w:hyperlink w:history="true" w:anchor="_bookmark32">
        <w:r>
          <w:rPr>
            <w:sz w:val="21"/>
          </w:rPr>
          <w:t>外部沟通</w:t>
          <w:tab/>
          <w:t>12</w:t>
        </w:r>
      </w:hyperlink>
    </w:p>
    <w:p>
      <w:pPr>
        <w:pStyle w:val="BodyText"/>
        <w:tabs>
          <w:tab w:pos="9622" w:val="right" w:leader="dot"/>
        </w:tabs>
        <w:ind w:left="278"/>
      </w:pPr>
      <w:hyperlink w:history="true" w:anchor="_bookmark33">
        <w:r>
          <w:rPr>
            <w:rFonts w:ascii="黑体" w:eastAsia="黑体" w:hint="eastAsia"/>
          </w:rPr>
          <w:t>7.5</w:t>
        </w:r>
        <w:r>
          <w:rPr>
            <w:rFonts w:ascii="黑体" w:eastAsia="黑体" w:hint="eastAsia"/>
            <w:spacing w:val="-2"/>
          </w:rPr>
          <w:t> </w:t>
        </w:r>
        <w:r>
          <w:rPr/>
          <w:t>文件化信息</w:t>
          <w:tab/>
          <w:t>12</w:t>
        </w:r>
      </w:hyperlink>
    </w:p>
    <w:p>
      <w:pPr>
        <w:pStyle w:val="BodyText"/>
        <w:tabs>
          <w:tab w:pos="9622" w:val="right" w:leader="dot"/>
        </w:tabs>
        <w:ind w:left="278"/>
      </w:pPr>
      <w:hyperlink w:history="true" w:anchor="_bookmark34">
        <w:r>
          <w:rPr>
            <w:rFonts w:ascii="黑体" w:eastAsia="黑体" w:hint="eastAsia"/>
          </w:rPr>
          <w:t>7.5.1</w:t>
        </w:r>
        <w:r>
          <w:rPr>
            <w:rFonts w:ascii="黑体" w:eastAsia="黑体" w:hint="eastAsia"/>
            <w:spacing w:val="-2"/>
          </w:rPr>
          <w:t> </w:t>
        </w:r>
        <w:r>
          <w:rPr/>
          <w:t>总则</w:t>
          <w:tab/>
          <w:t>12</w:t>
        </w:r>
      </w:hyperlink>
    </w:p>
    <w:p>
      <w:pPr>
        <w:pStyle w:val="ListParagraph"/>
        <w:numPr>
          <w:ilvl w:val="2"/>
          <w:numId w:val="3"/>
        </w:numPr>
        <w:tabs>
          <w:tab w:pos="908" w:val="left" w:leader="none"/>
          <w:tab w:pos="9622" w:val="right" w:leader="dot"/>
        </w:tabs>
        <w:spacing w:line="240" w:lineRule="auto" w:before="43" w:after="0"/>
        <w:ind w:left="907" w:right="0" w:hanging="630"/>
        <w:jc w:val="left"/>
        <w:rPr>
          <w:sz w:val="21"/>
        </w:rPr>
      </w:pPr>
      <w:hyperlink w:history="true" w:anchor="_bookmark35">
        <w:r>
          <w:rPr>
            <w:sz w:val="21"/>
          </w:rPr>
          <w:t>创建和更新</w:t>
          <w:tab/>
          <w:t>12</w:t>
        </w:r>
      </w:hyperlink>
    </w:p>
    <w:p>
      <w:pPr>
        <w:pStyle w:val="ListParagraph"/>
        <w:numPr>
          <w:ilvl w:val="2"/>
          <w:numId w:val="3"/>
        </w:numPr>
        <w:tabs>
          <w:tab w:pos="908" w:val="left" w:leader="none"/>
          <w:tab w:pos="9622" w:val="right" w:leader="dot"/>
        </w:tabs>
        <w:spacing w:line="240" w:lineRule="auto" w:before="42" w:after="0"/>
        <w:ind w:left="907" w:right="0" w:hanging="630"/>
        <w:jc w:val="left"/>
        <w:rPr>
          <w:sz w:val="21"/>
        </w:rPr>
      </w:pPr>
      <w:hyperlink w:history="true" w:anchor="_bookmark36">
        <w:r>
          <w:rPr>
            <w:sz w:val="21"/>
          </w:rPr>
          <w:t>文件化信息的控制</w:t>
          <w:tab/>
          <w:t>13</w:t>
        </w:r>
      </w:hyperlink>
    </w:p>
    <w:p>
      <w:pPr>
        <w:pStyle w:val="BodyText"/>
        <w:tabs>
          <w:tab w:pos="9622" w:val="right" w:leader="dot"/>
        </w:tabs>
        <w:ind w:left="278"/>
      </w:pPr>
      <w:hyperlink w:history="true" w:anchor="_bookmark37">
        <w:r>
          <w:rPr>
            <w:rFonts w:ascii="Times New Roman" w:eastAsia="Times New Roman"/>
          </w:rPr>
          <w:t>8</w:t>
        </w:r>
        <w:r>
          <w:rPr>
            <w:rFonts w:ascii="Times New Roman" w:eastAsia="Times New Roman"/>
            <w:spacing w:val="51"/>
          </w:rPr>
          <w:t> </w:t>
        </w:r>
        <w:r>
          <w:rPr/>
          <w:t>运行</w:t>
          <w:tab/>
          <w:t>13</w:t>
        </w:r>
      </w:hyperlink>
    </w:p>
    <w:p>
      <w:pPr>
        <w:pStyle w:val="ListParagraph"/>
        <w:numPr>
          <w:ilvl w:val="1"/>
          <w:numId w:val="4"/>
        </w:numPr>
        <w:tabs>
          <w:tab w:pos="699" w:val="left" w:leader="none"/>
          <w:tab w:pos="9622" w:val="right" w:leader="dot"/>
        </w:tabs>
        <w:spacing w:line="240" w:lineRule="auto" w:before="43" w:after="0"/>
        <w:ind w:left="698" w:right="0" w:hanging="421"/>
        <w:jc w:val="left"/>
        <w:rPr>
          <w:sz w:val="21"/>
        </w:rPr>
      </w:pPr>
      <w:hyperlink w:history="true" w:anchor="_bookmark38">
        <w:r>
          <w:rPr>
            <w:sz w:val="21"/>
          </w:rPr>
          <w:t>运行策划和控制</w:t>
          <w:tab/>
          <w:t>13</w:t>
        </w:r>
      </w:hyperlink>
    </w:p>
    <w:p>
      <w:pPr>
        <w:pStyle w:val="BodyText"/>
        <w:tabs>
          <w:tab w:pos="9622" w:val="right" w:leader="dot"/>
        </w:tabs>
        <w:ind w:left="278"/>
      </w:pPr>
      <w:hyperlink w:history="true" w:anchor="_bookmark39">
        <w:r>
          <w:rPr>
            <w:rFonts w:ascii="黑体" w:eastAsia="黑体" w:hint="eastAsia"/>
          </w:rPr>
          <w:t>8.1.1</w:t>
        </w:r>
        <w:r>
          <w:rPr>
            <w:rFonts w:ascii="黑体" w:eastAsia="黑体" w:hint="eastAsia"/>
            <w:spacing w:val="-2"/>
          </w:rPr>
          <w:t> </w:t>
        </w:r>
        <w:r>
          <w:rPr/>
          <w:t>总则</w:t>
          <w:tab/>
          <w:t>13</w:t>
        </w:r>
      </w:hyperlink>
    </w:p>
    <w:p>
      <w:pPr>
        <w:spacing w:after="0"/>
        <w:sectPr>
          <w:headerReference w:type="default" r:id="rId6"/>
          <w:headerReference w:type="even" r:id="rId7"/>
          <w:footerReference w:type="default" r:id="rId8"/>
          <w:footerReference w:type="even" r:id="rId9"/>
          <w:pgSz w:w="11910" w:h="16840"/>
          <w:pgMar w:header="1442" w:footer="850" w:top="1660" w:bottom="1040" w:left="1140" w:right="740"/>
          <w:pgNumType w:start="1"/>
        </w:sectPr>
      </w:pPr>
    </w:p>
    <w:p>
      <w:pPr>
        <w:pStyle w:val="ListParagraph"/>
        <w:numPr>
          <w:ilvl w:val="2"/>
          <w:numId w:val="5"/>
        </w:numPr>
        <w:tabs>
          <w:tab w:pos="908" w:val="left" w:leader="none"/>
          <w:tab w:pos="9622" w:val="right" w:leader="dot"/>
        </w:tabs>
        <w:spacing w:line="240" w:lineRule="auto" w:before="157" w:after="0"/>
        <w:ind w:left="907" w:right="0" w:hanging="630"/>
        <w:jc w:val="left"/>
        <w:rPr>
          <w:sz w:val="21"/>
        </w:rPr>
      </w:pPr>
      <w:hyperlink w:history="true" w:anchor="_bookmark40">
        <w:r>
          <w:rPr>
            <w:sz w:val="21"/>
          </w:rPr>
          <w:t>消除危险源和降低职业健康安全风险</w:t>
          <w:tab/>
          <w:t>13</w:t>
        </w:r>
      </w:hyperlink>
    </w:p>
    <w:p>
      <w:pPr>
        <w:pStyle w:val="ListParagraph"/>
        <w:numPr>
          <w:ilvl w:val="2"/>
          <w:numId w:val="5"/>
        </w:numPr>
        <w:tabs>
          <w:tab w:pos="908" w:val="left" w:leader="none"/>
          <w:tab w:pos="9622" w:val="right" w:leader="dot"/>
        </w:tabs>
        <w:spacing w:line="240" w:lineRule="auto" w:before="43" w:after="0"/>
        <w:ind w:left="907" w:right="0" w:hanging="630"/>
        <w:jc w:val="left"/>
        <w:rPr>
          <w:sz w:val="21"/>
        </w:rPr>
      </w:pPr>
      <w:hyperlink w:history="true" w:anchor="_bookmark41">
        <w:r>
          <w:rPr>
            <w:sz w:val="21"/>
          </w:rPr>
          <w:t>变更管理</w:t>
          <w:tab/>
          <w:t>13</w:t>
        </w:r>
      </w:hyperlink>
    </w:p>
    <w:p>
      <w:pPr>
        <w:pStyle w:val="BodyText"/>
        <w:tabs>
          <w:tab w:pos="9622" w:val="right" w:leader="dot"/>
        </w:tabs>
        <w:ind w:left="278"/>
      </w:pPr>
      <w:hyperlink w:history="true" w:anchor="_bookmark42">
        <w:r>
          <w:rPr>
            <w:rFonts w:ascii="黑体" w:eastAsia="黑体" w:hint="eastAsia"/>
          </w:rPr>
          <w:t>8.1.4</w:t>
        </w:r>
        <w:r>
          <w:rPr>
            <w:rFonts w:ascii="黑体" w:eastAsia="黑体" w:hint="eastAsia"/>
            <w:spacing w:val="-2"/>
          </w:rPr>
          <w:t> </w:t>
        </w:r>
        <w:r>
          <w:rPr/>
          <w:t>采购</w:t>
          <w:tab/>
          <w:t>14</w:t>
        </w:r>
      </w:hyperlink>
    </w:p>
    <w:p>
      <w:pPr>
        <w:pStyle w:val="ListParagraph"/>
        <w:numPr>
          <w:ilvl w:val="1"/>
          <w:numId w:val="4"/>
        </w:numPr>
        <w:tabs>
          <w:tab w:pos="699" w:val="left" w:leader="none"/>
          <w:tab w:pos="9622" w:val="right" w:leader="dot"/>
        </w:tabs>
        <w:spacing w:line="240" w:lineRule="auto" w:before="43" w:after="0"/>
        <w:ind w:left="698" w:right="0" w:hanging="421"/>
        <w:jc w:val="left"/>
        <w:rPr>
          <w:sz w:val="21"/>
        </w:rPr>
      </w:pPr>
      <w:hyperlink w:history="true" w:anchor="_bookmark43">
        <w:r>
          <w:rPr>
            <w:sz w:val="21"/>
          </w:rPr>
          <w:t>应急准备和响应</w:t>
          <w:tab/>
          <w:t>14</w:t>
        </w:r>
      </w:hyperlink>
    </w:p>
    <w:p>
      <w:pPr>
        <w:pStyle w:val="ListParagraph"/>
        <w:numPr>
          <w:ilvl w:val="0"/>
          <w:numId w:val="6"/>
        </w:numPr>
        <w:tabs>
          <w:tab w:pos="488" w:val="left" w:leader="none"/>
          <w:tab w:pos="9622" w:val="right" w:leader="dot"/>
        </w:tabs>
        <w:spacing w:line="240" w:lineRule="auto" w:before="43" w:after="0"/>
        <w:ind w:left="487" w:right="0" w:hanging="210"/>
        <w:jc w:val="left"/>
        <w:rPr>
          <w:sz w:val="21"/>
        </w:rPr>
      </w:pPr>
      <w:hyperlink w:history="true" w:anchor="_bookmark44">
        <w:r>
          <w:rPr>
            <w:sz w:val="21"/>
          </w:rPr>
          <w:t>绩效评价</w:t>
          <w:tab/>
          <w:t>14</w:t>
        </w:r>
      </w:hyperlink>
    </w:p>
    <w:p>
      <w:pPr>
        <w:pStyle w:val="ListParagraph"/>
        <w:numPr>
          <w:ilvl w:val="1"/>
          <w:numId w:val="6"/>
        </w:numPr>
        <w:tabs>
          <w:tab w:pos="699" w:val="left" w:leader="none"/>
          <w:tab w:pos="9622" w:val="right" w:leader="dot"/>
        </w:tabs>
        <w:spacing w:line="240" w:lineRule="auto" w:before="43" w:after="0"/>
        <w:ind w:left="698" w:right="0" w:hanging="421"/>
        <w:jc w:val="left"/>
        <w:rPr>
          <w:sz w:val="21"/>
        </w:rPr>
      </w:pPr>
      <w:hyperlink w:history="true" w:anchor="_bookmark45">
        <w:r>
          <w:rPr>
            <w:sz w:val="21"/>
          </w:rPr>
          <w:t>监视、测量、分析和评价绩效</w:t>
          <w:tab/>
          <w:t>14</w:t>
        </w:r>
      </w:hyperlink>
    </w:p>
    <w:p>
      <w:pPr>
        <w:pStyle w:val="BodyText"/>
        <w:tabs>
          <w:tab w:pos="9622" w:val="right" w:leader="dot"/>
        </w:tabs>
        <w:ind w:left="278"/>
      </w:pPr>
      <w:hyperlink w:history="true" w:anchor="_bookmark46">
        <w:r>
          <w:rPr>
            <w:rFonts w:ascii="黑体" w:eastAsia="黑体" w:hint="eastAsia"/>
          </w:rPr>
          <w:t>9.1.1</w:t>
        </w:r>
        <w:r>
          <w:rPr>
            <w:rFonts w:ascii="黑体" w:eastAsia="黑体" w:hint="eastAsia"/>
            <w:spacing w:val="-2"/>
          </w:rPr>
          <w:t> </w:t>
        </w:r>
        <w:r>
          <w:rPr/>
          <w:t>总则</w:t>
          <w:tab/>
          <w:t>14</w:t>
        </w:r>
      </w:hyperlink>
    </w:p>
    <w:p>
      <w:pPr>
        <w:pStyle w:val="BodyText"/>
        <w:tabs>
          <w:tab w:pos="9622" w:val="right" w:leader="dot"/>
        </w:tabs>
        <w:ind w:left="278"/>
      </w:pPr>
      <w:hyperlink w:history="true" w:anchor="_bookmark47">
        <w:r>
          <w:rPr>
            <w:rFonts w:ascii="黑体" w:eastAsia="黑体" w:hint="eastAsia"/>
          </w:rPr>
          <w:t>9.1.2</w:t>
        </w:r>
        <w:r>
          <w:rPr>
            <w:rFonts w:ascii="黑体" w:eastAsia="黑体" w:hint="eastAsia"/>
            <w:spacing w:val="-2"/>
          </w:rPr>
          <w:t> </w:t>
        </w:r>
        <w:r>
          <w:rPr/>
          <w:t>合规性评价</w:t>
          <w:tab/>
          <w:t>15</w:t>
        </w:r>
      </w:hyperlink>
    </w:p>
    <w:p>
      <w:pPr>
        <w:pStyle w:val="ListParagraph"/>
        <w:numPr>
          <w:ilvl w:val="1"/>
          <w:numId w:val="6"/>
        </w:numPr>
        <w:tabs>
          <w:tab w:pos="699" w:val="left" w:leader="none"/>
          <w:tab w:pos="9622" w:val="right" w:leader="dot"/>
        </w:tabs>
        <w:spacing w:line="240" w:lineRule="auto" w:before="43" w:after="0"/>
        <w:ind w:left="698" w:right="0" w:hanging="421"/>
        <w:jc w:val="left"/>
        <w:rPr>
          <w:sz w:val="21"/>
        </w:rPr>
      </w:pPr>
      <w:hyperlink w:history="true" w:anchor="_bookmark48">
        <w:r>
          <w:rPr>
            <w:sz w:val="21"/>
          </w:rPr>
          <w:t>内部审核</w:t>
          <w:tab/>
          <w:t>15</w:t>
        </w:r>
      </w:hyperlink>
    </w:p>
    <w:p>
      <w:pPr>
        <w:pStyle w:val="BodyText"/>
        <w:tabs>
          <w:tab w:pos="9622" w:val="right" w:leader="dot"/>
        </w:tabs>
        <w:ind w:left="278"/>
      </w:pPr>
      <w:hyperlink w:history="true" w:anchor="_bookmark49">
        <w:r>
          <w:rPr>
            <w:rFonts w:ascii="黑体" w:eastAsia="黑体" w:hint="eastAsia"/>
          </w:rPr>
          <w:t>9.2.1</w:t>
        </w:r>
        <w:r>
          <w:rPr>
            <w:rFonts w:ascii="黑体" w:eastAsia="黑体" w:hint="eastAsia"/>
            <w:spacing w:val="-2"/>
          </w:rPr>
          <w:t> </w:t>
        </w:r>
        <w:r>
          <w:rPr/>
          <w:t>总则</w:t>
          <w:tab/>
          <w:t>15</w:t>
        </w:r>
      </w:hyperlink>
    </w:p>
    <w:p>
      <w:pPr>
        <w:pStyle w:val="BodyText"/>
        <w:tabs>
          <w:tab w:pos="9622" w:val="right" w:leader="dot"/>
        </w:tabs>
        <w:ind w:left="278"/>
      </w:pPr>
      <w:hyperlink w:history="true" w:anchor="_bookmark50">
        <w:r>
          <w:rPr>
            <w:rFonts w:ascii="黑体" w:eastAsia="黑体" w:hint="eastAsia"/>
          </w:rPr>
          <w:t>9.2.2</w:t>
        </w:r>
        <w:r>
          <w:rPr>
            <w:rFonts w:ascii="黑体" w:eastAsia="黑体" w:hint="eastAsia"/>
            <w:spacing w:val="-2"/>
          </w:rPr>
          <w:t> </w:t>
        </w:r>
        <w:r>
          <w:rPr/>
          <w:t>内部审核方案</w:t>
          <w:tab/>
          <w:t>15</w:t>
        </w:r>
      </w:hyperlink>
    </w:p>
    <w:p>
      <w:pPr>
        <w:pStyle w:val="ListParagraph"/>
        <w:numPr>
          <w:ilvl w:val="1"/>
          <w:numId w:val="6"/>
        </w:numPr>
        <w:tabs>
          <w:tab w:pos="699" w:val="left" w:leader="none"/>
          <w:tab w:pos="9622" w:val="right" w:leader="dot"/>
        </w:tabs>
        <w:spacing w:line="240" w:lineRule="auto" w:before="43" w:after="0"/>
        <w:ind w:left="698" w:right="0" w:hanging="421"/>
        <w:jc w:val="left"/>
        <w:rPr>
          <w:sz w:val="21"/>
        </w:rPr>
      </w:pPr>
      <w:hyperlink w:history="true" w:anchor="_bookmark51">
        <w:r>
          <w:rPr>
            <w:sz w:val="21"/>
          </w:rPr>
          <w:t>管理评审</w:t>
          <w:tab/>
          <w:t>15</w:t>
        </w:r>
      </w:hyperlink>
    </w:p>
    <w:p>
      <w:pPr>
        <w:pStyle w:val="BodyText"/>
        <w:tabs>
          <w:tab w:pos="9622" w:val="right" w:leader="dot"/>
        </w:tabs>
        <w:ind w:left="278"/>
      </w:pPr>
      <w:hyperlink w:history="true" w:anchor="_bookmark52">
        <w:r>
          <w:rPr>
            <w:rFonts w:ascii="Times New Roman" w:eastAsia="Times New Roman"/>
          </w:rPr>
          <w:t>10</w:t>
        </w:r>
        <w:r>
          <w:rPr>
            <w:rFonts w:ascii="Times New Roman" w:eastAsia="Times New Roman"/>
            <w:spacing w:val="51"/>
          </w:rPr>
          <w:t> </w:t>
        </w:r>
        <w:r>
          <w:rPr/>
          <w:t>改进</w:t>
          <w:tab/>
          <w:t>16</w:t>
        </w:r>
      </w:hyperlink>
    </w:p>
    <w:p>
      <w:pPr>
        <w:pStyle w:val="BodyText"/>
        <w:tabs>
          <w:tab w:pos="9622" w:val="right" w:leader="dot"/>
        </w:tabs>
        <w:spacing w:before="42"/>
        <w:ind w:left="278"/>
      </w:pPr>
      <w:hyperlink w:history="true" w:anchor="_bookmark53">
        <w:r>
          <w:rPr>
            <w:rFonts w:ascii="黑体" w:eastAsia="黑体" w:hint="eastAsia"/>
          </w:rPr>
          <w:t>10.1</w:t>
        </w:r>
        <w:r>
          <w:rPr>
            <w:rFonts w:ascii="黑体" w:eastAsia="黑体" w:hint="eastAsia"/>
            <w:spacing w:val="-2"/>
          </w:rPr>
          <w:t> </w:t>
        </w:r>
        <w:r>
          <w:rPr/>
          <w:t>总则</w:t>
          <w:tab/>
          <w:t>16</w:t>
        </w:r>
      </w:hyperlink>
    </w:p>
    <w:p>
      <w:pPr>
        <w:pStyle w:val="ListParagraph"/>
        <w:numPr>
          <w:ilvl w:val="1"/>
          <w:numId w:val="7"/>
        </w:numPr>
        <w:tabs>
          <w:tab w:pos="804" w:val="left" w:leader="none"/>
          <w:tab w:pos="9622" w:val="right" w:leader="dot"/>
        </w:tabs>
        <w:spacing w:line="240" w:lineRule="auto" w:before="43" w:after="0"/>
        <w:ind w:left="804" w:right="0" w:hanging="526"/>
        <w:jc w:val="left"/>
        <w:rPr>
          <w:sz w:val="21"/>
        </w:rPr>
      </w:pPr>
      <w:hyperlink w:history="true" w:anchor="_bookmark54">
        <w:r>
          <w:rPr>
            <w:sz w:val="21"/>
          </w:rPr>
          <w:t>事件、不符合和纠正措施</w:t>
          <w:tab/>
          <w:t>16</w:t>
        </w:r>
      </w:hyperlink>
    </w:p>
    <w:p>
      <w:pPr>
        <w:pStyle w:val="ListParagraph"/>
        <w:numPr>
          <w:ilvl w:val="1"/>
          <w:numId w:val="7"/>
        </w:numPr>
        <w:tabs>
          <w:tab w:pos="804" w:val="left" w:leader="none"/>
          <w:tab w:pos="9622" w:val="right" w:leader="dot"/>
        </w:tabs>
        <w:spacing w:line="240" w:lineRule="auto" w:before="43" w:after="0"/>
        <w:ind w:left="804" w:right="0" w:hanging="526"/>
        <w:jc w:val="left"/>
        <w:rPr>
          <w:sz w:val="21"/>
        </w:rPr>
      </w:pPr>
      <w:hyperlink w:history="true" w:anchor="_bookmark55">
        <w:r>
          <w:rPr>
            <w:sz w:val="21"/>
          </w:rPr>
          <w:t>持续改进</w:t>
          <w:tab/>
          <w:t>17</w:t>
        </w:r>
      </w:hyperlink>
    </w:p>
    <w:p>
      <w:pPr>
        <w:pStyle w:val="BodyText"/>
        <w:tabs>
          <w:tab w:pos="9622" w:val="right" w:leader="dot"/>
        </w:tabs>
        <w:ind w:left="278"/>
      </w:pPr>
      <w:hyperlink w:history="true" w:anchor="_bookmark56">
        <w:r>
          <w:rPr/>
          <w:t>附录</w:t>
        </w:r>
        <w:r>
          <w:rPr>
            <w:spacing w:val="-54"/>
          </w:rPr>
          <w:t> </w:t>
        </w:r>
        <w:r>
          <w:rPr>
            <w:rFonts w:ascii="Times New Roman" w:eastAsia="Times New Roman"/>
          </w:rPr>
          <w:t>A </w:t>
        </w:r>
        <w:r>
          <w:rPr>
            <w:rFonts w:ascii="Times New Roman" w:eastAsia="Times New Roman"/>
            <w:spacing w:val="3"/>
          </w:rPr>
          <w:t> </w:t>
        </w:r>
        <w:r>
          <w:rPr/>
          <w:t>（资料性附录） 本标准的使用指南</w:t>
          <w:tab/>
          <w:t>18</w:t>
        </w:r>
      </w:hyperlink>
    </w:p>
    <w:p>
      <w:pPr>
        <w:pStyle w:val="BodyText"/>
        <w:tabs>
          <w:tab w:pos="9622" w:val="right" w:leader="dot"/>
        </w:tabs>
        <w:ind w:left="278"/>
      </w:pPr>
      <w:hyperlink w:history="true" w:anchor="_bookmark57">
        <w:r>
          <w:rPr/>
          <w:t>附录</w:t>
        </w:r>
        <w:r>
          <w:rPr>
            <w:spacing w:val="-54"/>
          </w:rPr>
          <w:t> </w:t>
        </w:r>
        <w:r>
          <w:rPr>
            <w:rFonts w:ascii="Times New Roman" w:hAnsi="Times New Roman" w:eastAsia="Times New Roman"/>
          </w:rPr>
          <w:t>NA</w:t>
        </w:r>
        <w:r>
          <w:rPr>
            <w:rFonts w:ascii="Times New Roman" w:hAnsi="Times New Roman" w:eastAsia="Times New Roman"/>
            <w:spacing w:val="52"/>
          </w:rPr>
          <w:t> </w:t>
        </w:r>
        <w:r>
          <w:rPr/>
          <w:t>（资料性附录）</w:t>
        </w:r>
        <w:r>
          <w:rPr>
            <w:spacing w:val="1"/>
          </w:rPr>
          <w:t> </w:t>
        </w:r>
        <w:r>
          <w:rPr/>
          <w:t>本标准与</w:t>
        </w:r>
        <w:r>
          <w:rPr>
            <w:spacing w:val="-50"/>
          </w:rPr>
          <w:t> </w:t>
        </w:r>
        <w:r>
          <w:rPr>
            <w:rFonts w:ascii="Times New Roman" w:hAnsi="Times New Roman" w:eastAsia="Times New Roman"/>
          </w:rPr>
          <w:t>GB/T</w:t>
        </w:r>
        <w:r>
          <w:rPr>
            <w:rFonts w:ascii="Times New Roman" w:hAnsi="Times New Roman" w:eastAsia="Times New Roman"/>
            <w:spacing w:val="1"/>
          </w:rPr>
          <w:t> </w:t>
        </w:r>
        <w:r>
          <w:rPr>
            <w:rFonts w:ascii="Times New Roman" w:hAnsi="Times New Roman" w:eastAsia="Times New Roman"/>
          </w:rPr>
          <w:t>28001—2011</w:t>
        </w:r>
        <w:r>
          <w:rPr>
            <w:rFonts w:ascii="Times New Roman" w:hAnsi="Times New Roman" w:eastAsia="Times New Roman"/>
            <w:spacing w:val="-1"/>
          </w:rPr>
          <w:t> </w:t>
        </w:r>
        <w:r>
          <w:rPr/>
          <w:t>之间的对应情况</w:t>
          <w:tab/>
          <w:t>29</w:t>
        </w:r>
      </w:hyperlink>
    </w:p>
    <w:p>
      <w:pPr>
        <w:pStyle w:val="BodyText"/>
        <w:tabs>
          <w:tab w:pos="9622" w:val="right" w:leader="dot"/>
        </w:tabs>
        <w:ind w:left="278"/>
      </w:pPr>
      <w:hyperlink w:history="true" w:anchor="_bookmark60">
        <w:r>
          <w:rPr/>
          <w:t>参考文献</w:t>
          <w:tab/>
          <w:t>35</w:t>
        </w:r>
      </w:hyperlink>
    </w:p>
    <w:p>
      <w:pPr>
        <w:pStyle w:val="BodyText"/>
        <w:tabs>
          <w:tab w:pos="9622" w:val="right" w:leader="dot"/>
        </w:tabs>
        <w:ind w:left="278"/>
      </w:pPr>
      <w:hyperlink w:history="true" w:anchor="_bookmark61">
        <w:r>
          <w:rPr/>
          <w:t>按英文字母顺序排列的术语索引</w:t>
          <w:tab/>
          <w:t>36</w:t>
        </w:r>
      </w:hyperlink>
    </w:p>
    <w:p>
      <w:pPr>
        <w:pStyle w:val="BodyText"/>
        <w:tabs>
          <w:tab w:pos="9622" w:val="right" w:leader="dot"/>
        </w:tabs>
        <w:ind w:left="278"/>
      </w:pPr>
      <w:hyperlink w:history="true" w:anchor="_bookmark62">
        <w:r>
          <w:rPr/>
          <w:t>按汉语拼音字母顺序排列的术语索引</w:t>
          <w:tab/>
          <w:t>38</w:t>
        </w:r>
      </w:hyperlink>
    </w:p>
    <w:p>
      <w:pPr>
        <w:pStyle w:val="BodyText"/>
        <w:tabs>
          <w:tab w:pos="9621" w:val="right" w:leader="dot"/>
        </w:tabs>
        <w:spacing w:before="355"/>
        <w:ind w:left="278"/>
        <w:rPr>
          <w:rFonts w:ascii="Times New Roman" w:eastAsia="Times New Roman"/>
        </w:rPr>
      </w:pPr>
      <w:hyperlink w:history="true" w:anchor="_bookmark2">
        <w:r>
          <w:rPr/>
          <w:t>图</w:t>
        </w:r>
        <w:r>
          <w:rPr>
            <w:spacing w:val="-54"/>
          </w:rPr>
          <w:t> </w:t>
        </w:r>
        <w:r>
          <w:rPr>
            <w:rFonts w:ascii="Times New Roman" w:eastAsia="Times New Roman"/>
          </w:rPr>
          <w:t>1</w:t>
        </w:r>
        <w:r>
          <w:rPr>
            <w:rFonts w:ascii="Times New Roman" w:eastAsia="Times New Roman"/>
            <w:spacing w:val="1"/>
          </w:rPr>
          <w:t> </w:t>
        </w:r>
        <w:r>
          <w:rPr>
            <w:rFonts w:ascii="Times New Roman" w:eastAsia="Times New Roman"/>
          </w:rPr>
          <w:t>PDCA </w:t>
        </w:r>
        <w:r>
          <w:rPr/>
          <w:t>与本标准框架之间的关系</w:t>
          <w:tab/>
        </w:r>
        <w:r>
          <w:rPr>
            <w:rFonts w:ascii="Times New Roman" w:eastAsia="Times New Roman"/>
          </w:rPr>
          <w:t>V</w:t>
        </w:r>
      </w:hyperlink>
    </w:p>
    <w:p>
      <w:pPr>
        <w:pStyle w:val="BodyText"/>
        <w:tabs>
          <w:tab w:pos="9622" w:val="right" w:leader="dot"/>
        </w:tabs>
        <w:spacing w:before="355"/>
        <w:ind w:left="278"/>
        <w:rPr>
          <w:rFonts w:ascii="Times New Roman" w:eastAsia="Times New Roman"/>
        </w:rPr>
      </w:pPr>
      <w:hyperlink w:history="true" w:anchor="_bookmark58">
        <w:r>
          <w:rPr/>
          <w:t>表</w:t>
        </w:r>
        <w:r>
          <w:rPr>
            <w:spacing w:val="-54"/>
          </w:rPr>
          <w:t> </w:t>
        </w:r>
        <w:r>
          <w:rPr>
            <w:rFonts w:ascii="Times New Roman" w:eastAsia="Times New Roman"/>
          </w:rPr>
          <w:t>NA.1 </w:t>
        </w:r>
        <w:r>
          <w:rPr>
            <w:rFonts w:ascii="Times New Roman" w:eastAsia="Times New Roman"/>
            <w:spacing w:val="1"/>
          </w:rPr>
          <w:t> </w:t>
        </w:r>
        <w:r>
          <w:rPr/>
          <w:t>本标准与</w:t>
        </w:r>
        <w:r>
          <w:rPr>
            <w:spacing w:val="-53"/>
          </w:rPr>
          <w:t> </w:t>
        </w:r>
        <w:r>
          <w:rPr>
            <w:rFonts w:ascii="Times New Roman" w:eastAsia="Times New Roman"/>
          </w:rPr>
          <w:t>GB/T</w:t>
        </w:r>
        <w:r>
          <w:rPr>
            <w:rFonts w:ascii="Times New Roman" w:eastAsia="Times New Roman"/>
            <w:spacing w:val="3"/>
          </w:rPr>
          <w:t> </w:t>
        </w:r>
        <w:r>
          <w:rPr>
            <w:rFonts w:ascii="Times New Roman" w:eastAsia="Times New Roman"/>
          </w:rPr>
          <w:t>28001-2011</w:t>
        </w:r>
        <w:r>
          <w:rPr>
            <w:rFonts w:ascii="Times New Roman" w:eastAsia="Times New Roman"/>
            <w:spacing w:val="1"/>
          </w:rPr>
          <w:t> </w:t>
        </w:r>
        <w:r>
          <w:rPr/>
          <w:t>之间的对应情况</w:t>
          <w:tab/>
        </w:r>
        <w:r>
          <w:rPr>
            <w:rFonts w:ascii="Times New Roman" w:eastAsia="Times New Roman"/>
          </w:rPr>
          <w:t>29</w:t>
        </w:r>
      </w:hyperlink>
    </w:p>
    <w:p>
      <w:pPr>
        <w:pStyle w:val="BodyText"/>
        <w:tabs>
          <w:tab w:pos="9622" w:val="right" w:leader="dot"/>
        </w:tabs>
        <w:ind w:left="278"/>
        <w:rPr>
          <w:rFonts w:ascii="Times New Roman" w:eastAsia="Times New Roman"/>
        </w:rPr>
      </w:pPr>
      <w:hyperlink w:history="true" w:anchor="_bookmark59">
        <w:r>
          <w:rPr/>
          <w:t>表</w:t>
        </w:r>
        <w:r>
          <w:rPr>
            <w:spacing w:val="-54"/>
          </w:rPr>
          <w:t> </w:t>
        </w:r>
        <w:r>
          <w:rPr>
            <w:rFonts w:ascii="Times New Roman" w:eastAsia="Times New Roman"/>
          </w:rPr>
          <w:t>NA.2</w:t>
        </w:r>
        <w:r>
          <w:rPr>
            <w:rFonts w:ascii="Times New Roman" w:eastAsia="Times New Roman"/>
            <w:spacing w:val="1"/>
          </w:rPr>
          <w:t> </w:t>
        </w:r>
        <w:r>
          <w:rPr>
            <w:rFonts w:ascii="Times New Roman" w:eastAsia="Times New Roman"/>
          </w:rPr>
          <w:t>GB/T</w:t>
        </w:r>
        <w:r>
          <w:rPr>
            <w:rFonts w:ascii="Times New Roman" w:eastAsia="Times New Roman"/>
            <w:spacing w:val="2"/>
          </w:rPr>
          <w:t> </w:t>
        </w:r>
        <w:r>
          <w:rPr>
            <w:rFonts w:ascii="Times New Roman" w:eastAsia="Times New Roman"/>
          </w:rPr>
          <w:t>28001-2011</w:t>
        </w:r>
        <w:r>
          <w:rPr>
            <w:rFonts w:ascii="Times New Roman" w:eastAsia="Times New Roman"/>
            <w:spacing w:val="1"/>
          </w:rPr>
          <w:t> </w:t>
        </w:r>
        <w:r>
          <w:rPr/>
          <w:t>与本标准之间的对应情况</w:t>
          <w:tab/>
        </w:r>
        <w:r>
          <w:rPr>
            <w:rFonts w:ascii="Times New Roman" w:eastAsia="Times New Roman"/>
          </w:rPr>
          <w:t>32</w:t>
        </w:r>
      </w:hyperlink>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0"/>
        <w:rPr>
          <w:rFonts w:ascii="Times New Roman"/>
          <w:sz w:val="22"/>
        </w:rPr>
      </w:pPr>
    </w:p>
    <w:p>
      <w:pPr>
        <w:pStyle w:val="BodyText"/>
        <w:spacing w:before="8"/>
        <w:rPr>
          <w:rFonts w:ascii="Times New Roman"/>
          <w:sz w:val="24"/>
        </w:rPr>
      </w:pPr>
    </w:p>
    <w:p>
      <w:pPr>
        <w:pStyle w:val="BodyText"/>
        <w:spacing w:before="0"/>
        <w:ind w:left="2378" w:right="2091"/>
        <w:jc w:val="center"/>
        <w:rPr>
          <w:rFonts w:ascii="Times New Roman" w:eastAsia="Times New Roman"/>
        </w:rPr>
      </w:pPr>
      <w:r>
        <w:rPr>
          <w:color w:val="FF0000"/>
        </w:rPr>
        <w:t>中高级职称评审，联系人：张老师 </w:t>
      </w:r>
      <w:r>
        <w:rPr>
          <w:rFonts w:ascii="Times New Roman" w:eastAsia="Times New Roman"/>
          <w:color w:val="FF0000"/>
        </w:rPr>
        <w:t>15674292811</w:t>
      </w:r>
    </w:p>
    <w:p>
      <w:pPr>
        <w:spacing w:after="0"/>
        <w:jc w:val="center"/>
        <w:rPr>
          <w:rFonts w:ascii="Times New Roman" w:eastAsia="Times New Roman"/>
        </w:rPr>
        <w:sectPr>
          <w:pgSz w:w="11910" w:h="16840"/>
          <w:pgMar w:header="1442" w:footer="850" w:top="1660" w:bottom="1040" w:left="1140" w:right="74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Heading1"/>
        <w:tabs>
          <w:tab w:pos="959" w:val="left" w:leader="none"/>
        </w:tabs>
        <w:spacing w:before="195"/>
      </w:pPr>
      <w:bookmarkStart w:name="前    言" w:id="2"/>
      <w:bookmarkEnd w:id="2"/>
      <w:r>
        <w:rPr/>
      </w:r>
      <w:bookmarkStart w:name="_bookmark0" w:id="3"/>
      <w:bookmarkEnd w:id="3"/>
      <w:r>
        <w:rPr/>
      </w:r>
      <w:r>
        <w:rPr/>
        <w:t>前</w:t>
        <w:tab/>
        <w:t>言</w:t>
      </w:r>
    </w:p>
    <w:p>
      <w:pPr>
        <w:pStyle w:val="BodyText"/>
        <w:spacing w:before="0"/>
        <w:rPr>
          <w:rFonts w:ascii="黑体"/>
          <w:sz w:val="32"/>
        </w:rPr>
      </w:pPr>
    </w:p>
    <w:p>
      <w:pPr>
        <w:pStyle w:val="BodyText"/>
        <w:spacing w:before="276"/>
        <w:ind w:left="698"/>
      </w:pPr>
      <w:r>
        <w:rPr/>
        <w:t>本标准按照GB/T 1.1—2009给出的规则起草。</w:t>
      </w:r>
    </w:p>
    <w:p>
      <w:pPr>
        <w:pStyle w:val="BodyText"/>
        <w:ind w:left="698"/>
      </w:pPr>
      <w:r>
        <w:rPr/>
        <w:t>本标准代替GB/T 28001-2011和GB/T 28002-2011。</w:t>
      </w:r>
    </w:p>
    <w:p>
      <w:pPr>
        <w:pStyle w:val="BodyText"/>
        <w:ind w:left="698"/>
      </w:pPr>
      <w:r>
        <w:rPr/>
        <w:t>本标准与GB/T 28001-2011和GB/T 28002-2011相比，除编辑性修改外，主要技术变化如下：</w:t>
      </w:r>
    </w:p>
    <w:p>
      <w:pPr>
        <w:pStyle w:val="BodyText"/>
        <w:spacing w:line="278" w:lineRule="auto"/>
        <w:ind w:left="1128" w:right="508" w:hanging="430"/>
      </w:pPr>
      <w:r>
        <w:rPr>
          <w:spacing w:val="-9"/>
        </w:rPr>
        <w:t>——采用了《“</w:t>
      </w:r>
      <w:r>
        <w:rPr/>
        <w:t>ISO/IEC</w:t>
      </w:r>
      <w:r>
        <w:rPr>
          <w:spacing w:val="-6"/>
        </w:rPr>
        <w:t>导则 第</w:t>
      </w:r>
      <w:r>
        <w:rPr/>
        <w:t>1</w:t>
      </w:r>
      <w:r>
        <w:rPr>
          <w:spacing w:val="-7"/>
        </w:rPr>
        <w:t>部分”的</w:t>
      </w:r>
      <w:r>
        <w:rPr/>
        <w:t>ISO</w:t>
      </w:r>
      <w:r>
        <w:rPr>
          <w:spacing w:val="-5"/>
        </w:rPr>
        <w:t>补充合并本》附录</w:t>
      </w:r>
      <w:r>
        <w:rPr/>
        <w:t>SL所给出的ISO管理体系标准通用高层结构；</w:t>
      </w:r>
    </w:p>
    <w:p>
      <w:pPr>
        <w:pStyle w:val="BodyText"/>
        <w:spacing w:line="269" w:lineRule="exact" w:before="0"/>
        <w:ind w:left="698"/>
      </w:pPr>
      <w:r>
        <w:rPr/>
        <w:t>——修改了术语和定义；</w:t>
      </w:r>
    </w:p>
    <w:p>
      <w:pPr>
        <w:pStyle w:val="BodyText"/>
        <w:ind w:left="698"/>
      </w:pPr>
      <w:r>
        <w:rPr/>
        <w:t>——采用了基于风险的思维；</w:t>
      </w:r>
    </w:p>
    <w:p>
      <w:pPr>
        <w:pStyle w:val="BodyText"/>
        <w:ind w:left="698"/>
      </w:pPr>
      <w:r>
        <w:rPr/>
        <w:t>——更加强调组织环境以及工作人员和其他相关方的需求和期望；</w:t>
      </w:r>
    </w:p>
    <w:p>
      <w:pPr>
        <w:pStyle w:val="BodyText"/>
        <w:ind w:left="698"/>
      </w:pPr>
      <w:r>
        <w:rPr/>
        <w:t>——强化了领导作用；</w:t>
      </w:r>
    </w:p>
    <w:p>
      <w:pPr>
        <w:pStyle w:val="BodyText"/>
        <w:ind w:left="698"/>
      </w:pPr>
      <w:r>
        <w:rPr/>
        <w:t>——强调了工作人员协商和参与；</w:t>
      </w:r>
    </w:p>
    <w:p>
      <w:pPr>
        <w:pStyle w:val="BodyText"/>
        <w:ind w:left="698"/>
      </w:pPr>
      <w:r>
        <w:rPr/>
        <w:t>——细化了危险源辨识和风险评价的要求；</w:t>
      </w:r>
    </w:p>
    <w:p>
      <w:pPr>
        <w:pStyle w:val="BodyText"/>
        <w:ind w:left="698"/>
      </w:pPr>
      <w:r>
        <w:rPr/>
        <w:t>——对文件化信息的要求更加灵活；</w:t>
      </w:r>
    </w:p>
    <w:p>
      <w:pPr>
        <w:pStyle w:val="BodyText"/>
        <w:ind w:left="698"/>
      </w:pPr>
      <w:r>
        <w:rPr/>
        <w:t>——细化了运行控制要求；</w:t>
      </w:r>
    </w:p>
    <w:p>
      <w:pPr>
        <w:pStyle w:val="BodyText"/>
        <w:ind w:left="698"/>
      </w:pPr>
      <w:r>
        <w:rPr/>
        <w:t>——细化了采购控制、承包方控制、外包控制要求；</w:t>
      </w:r>
    </w:p>
    <w:p>
      <w:pPr>
        <w:pStyle w:val="BodyText"/>
        <w:ind w:left="698"/>
      </w:pPr>
      <w:r>
        <w:rPr/>
        <w:t>——强化了变更管理要求</w:t>
      </w:r>
    </w:p>
    <w:p>
      <w:pPr>
        <w:pStyle w:val="BodyText"/>
        <w:ind w:left="698"/>
      </w:pPr>
      <w:r>
        <w:rPr/>
        <w:t>----更加关注职业健康安全绩效、绩效监视和测量。</w:t>
      </w:r>
    </w:p>
    <w:p>
      <w:pPr>
        <w:pStyle w:val="BodyText"/>
        <w:spacing w:line="278" w:lineRule="auto" w:before="42"/>
        <w:ind w:left="698" w:right="403"/>
      </w:pPr>
      <w:r>
        <w:rPr>
          <w:spacing w:val="-1"/>
          <w:w w:val="99"/>
        </w:rPr>
        <w:t>本标准使用翻译法等同采用</w:t>
      </w:r>
      <w:r>
        <w:rPr>
          <w:spacing w:val="1"/>
          <w:w w:val="99"/>
        </w:rPr>
        <w:t>IS</w:t>
      </w:r>
      <w:r>
        <w:rPr>
          <w:w w:val="99"/>
        </w:rPr>
        <w:t>O</w:t>
      </w:r>
      <w:r>
        <w:rPr>
          <w:spacing w:val="-54"/>
        </w:rPr>
        <w:t> </w:t>
      </w:r>
      <w:r>
        <w:rPr>
          <w:spacing w:val="1"/>
          <w:w w:val="99"/>
        </w:rPr>
        <w:t>45</w:t>
      </w:r>
      <w:r>
        <w:rPr>
          <w:spacing w:val="-2"/>
          <w:w w:val="99"/>
        </w:rPr>
        <w:t>0</w:t>
      </w:r>
      <w:r>
        <w:rPr>
          <w:spacing w:val="1"/>
          <w:w w:val="99"/>
        </w:rPr>
        <w:t>01:</w:t>
      </w:r>
      <w:r>
        <w:rPr>
          <w:spacing w:val="-2"/>
          <w:w w:val="99"/>
        </w:rPr>
        <w:t>2</w:t>
      </w:r>
      <w:r>
        <w:rPr>
          <w:spacing w:val="1"/>
          <w:w w:val="99"/>
        </w:rPr>
        <w:t>01</w:t>
      </w:r>
      <w:r>
        <w:rPr>
          <w:spacing w:val="-86"/>
          <w:w w:val="99"/>
        </w:rPr>
        <w:t>8</w:t>
      </w:r>
      <w:r>
        <w:rPr>
          <w:spacing w:val="-1"/>
          <w:w w:val="99"/>
        </w:rPr>
        <w:t>《职业健康安全管理体系</w:t>
      </w:r>
      <w:r>
        <w:rPr>
          <w:spacing w:val="-1"/>
        </w:rPr>
        <w:t> </w:t>
      </w:r>
      <w:r>
        <w:rPr>
          <w:spacing w:val="-1"/>
          <w:w w:val="99"/>
        </w:rPr>
        <w:t>要求及使用指南</w:t>
      </w:r>
      <w:r>
        <w:rPr>
          <w:spacing w:val="-171"/>
          <w:w w:val="99"/>
        </w:rPr>
        <w:t>》</w:t>
      </w:r>
      <w:r>
        <w:rPr>
          <w:spacing w:val="-3"/>
          <w:w w:val="99"/>
        </w:rPr>
        <w:t>（</w:t>
      </w:r>
      <w:r>
        <w:rPr>
          <w:w w:val="99"/>
        </w:rPr>
        <w:t>英文版</w:t>
      </w:r>
      <w:r>
        <w:rPr>
          <w:spacing w:val="-106"/>
          <w:w w:val="99"/>
        </w:rPr>
        <w:t>）</w:t>
      </w:r>
      <w:r>
        <w:rPr>
          <w:w w:val="99"/>
        </w:rPr>
        <w:t>。</w:t>
      </w:r>
      <w:r>
        <w:rPr/>
        <w:t>本标准由中国标准化研究院提出并归口。</w:t>
      </w:r>
    </w:p>
    <w:p>
      <w:pPr>
        <w:pStyle w:val="BodyText"/>
        <w:spacing w:line="278" w:lineRule="auto" w:before="0"/>
        <w:ind w:left="278" w:right="400" w:firstLine="420"/>
      </w:pPr>
      <w:r>
        <w:rPr/>
        <w:t>本标准起草单位：中国标准化研究院、华夏认证中心有限公司、中国质量认证中心、北京中大华</w:t>
      </w:r>
      <w:r>
        <w:rPr>
          <w:spacing w:val="-9"/>
          <w:w w:val="95"/>
        </w:rPr>
        <w:t>远认证中心、方圆标志认证集团有限公司、中国船级社质量认证公司、北京中建协认证中心有限公司、   </w:t>
      </w:r>
      <w:r>
        <w:rPr>
          <w:spacing w:val="-9"/>
        </w:rPr>
        <w:t>国家市场监督管理总局认可认证技术研究中心、中国认证认可协会、中国合格评定国家认可中心、北京毕塞特安全技术研究所、北京中设认证服务有限公司、兴原认证中心有限公司、新世纪检验认证股份有限公司、中质协质量保证中心、长城(天津)质量保证中心、北京东方易初标准技术有限公司、上海欧萨评价咨询股份有限公司、中国铁道建筑集团有限公司、上汽通用汽车有限公司、中铁十六局集团有限公司、中国十五冶金建设集团有限公司、中铁电气化局集团有限公司、合肥东方节能科技股份有限公司、山东京博石油化工有限公司。</w:t>
      </w:r>
    </w:p>
    <w:p>
      <w:pPr>
        <w:pStyle w:val="BodyText"/>
        <w:spacing w:line="278" w:lineRule="auto" w:before="0"/>
        <w:ind w:left="278" w:right="398" w:firstLine="420"/>
      </w:pPr>
      <w:r>
        <w:rPr>
          <w:spacing w:val="-10"/>
          <w:w w:val="95"/>
        </w:rPr>
        <w:t>本标准主要起草人：陈元桥、陈全、王顺祺、王瑜、李辰暄、刘江毅、王海山、张崇武、王新亭、   </w:t>
      </w:r>
      <w:r>
        <w:rPr>
          <w:spacing w:val="-10"/>
        </w:rPr>
        <w:t>彭新、林峰、吕艳、夏清、陆彩霞、张丛悦、吕福满、董晓红、赵巍巍、王丽、曹雅洁、王小兵、王珍琪、杨生荣、沈伟、白云飞、贾兆栋、郭宏、马栋、王忠俊、刘保顺、牛星、赵家柱、赵仕堂、史鲲。</w:t>
      </w:r>
    </w:p>
    <w:p>
      <w:pPr>
        <w:pStyle w:val="BodyText"/>
        <w:spacing w:line="268" w:lineRule="exact" w:before="0"/>
        <w:ind w:left="698"/>
      </w:pPr>
      <w:r>
        <w:rPr>
          <w:w w:val="95"/>
        </w:rPr>
        <w:t>本标准所代替标准的历次版本发布情况为：</w:t>
      </w:r>
    </w:p>
    <w:p>
      <w:pPr>
        <w:pStyle w:val="BodyText"/>
        <w:ind w:left="698"/>
      </w:pPr>
      <w:r>
        <w:rPr>
          <w:rFonts w:ascii="Times New Roman" w:hAnsi="Times New Roman" w:eastAsia="Times New Roman"/>
        </w:rPr>
        <w:t>——</w:t>
      </w:r>
      <w:r>
        <w:rPr/>
        <w:t>GB/T</w:t>
      </w:r>
      <w:r>
        <w:rPr>
          <w:spacing w:val="-5"/>
        </w:rPr>
        <w:t> </w:t>
      </w:r>
      <w:r>
        <w:rPr/>
        <w:t>28001-2001和GB/T</w:t>
      </w:r>
      <w:r>
        <w:rPr>
          <w:spacing w:val="-4"/>
        </w:rPr>
        <w:t> </w:t>
      </w:r>
      <w:r>
        <w:rPr/>
        <w:t>28002-2002；</w:t>
      </w:r>
    </w:p>
    <w:p>
      <w:pPr>
        <w:pStyle w:val="BodyText"/>
        <w:ind w:left="698"/>
      </w:pPr>
      <w:r>
        <w:rPr>
          <w:rFonts w:ascii="Times New Roman" w:hAnsi="Times New Roman" w:eastAsia="Times New Roman"/>
        </w:rPr>
        <w:t>——</w:t>
      </w:r>
      <w:r>
        <w:rPr/>
        <w:t>GB/T</w:t>
      </w:r>
      <w:r>
        <w:rPr>
          <w:spacing w:val="-5"/>
        </w:rPr>
        <w:t> </w:t>
      </w:r>
      <w:r>
        <w:rPr/>
        <w:t>28001-2011和GB/T</w:t>
      </w:r>
      <w:r>
        <w:rPr>
          <w:spacing w:val="-4"/>
        </w:rPr>
        <w:t> </w:t>
      </w:r>
      <w:r>
        <w:rPr/>
        <w:t>28002-2011。</w:t>
      </w:r>
    </w:p>
    <w:p>
      <w:pPr>
        <w:pStyle w:val="BodyText"/>
        <w:spacing w:before="0"/>
        <w:rPr>
          <w:sz w:val="22"/>
        </w:rPr>
      </w:pPr>
    </w:p>
    <w:p>
      <w:pPr>
        <w:pStyle w:val="BodyText"/>
        <w:spacing w:before="0"/>
        <w:rPr>
          <w:sz w:val="22"/>
        </w:rPr>
      </w:pPr>
    </w:p>
    <w:p>
      <w:pPr>
        <w:pStyle w:val="BodyText"/>
        <w:spacing w:before="10"/>
        <w:rPr>
          <w:sz w:val="20"/>
        </w:rPr>
      </w:pPr>
    </w:p>
    <w:p>
      <w:pPr>
        <w:pStyle w:val="BodyText"/>
        <w:spacing w:before="0"/>
        <w:ind w:left="2378" w:right="2091"/>
        <w:jc w:val="center"/>
        <w:rPr>
          <w:rFonts w:ascii="Times New Roman" w:eastAsia="Times New Roman"/>
        </w:rPr>
      </w:pPr>
      <w:r>
        <w:rPr>
          <w:color w:val="FF0000"/>
        </w:rPr>
        <w:t>中高级职称评审，联系人：张老师 </w:t>
      </w:r>
      <w:r>
        <w:rPr>
          <w:rFonts w:ascii="Times New Roman" w:eastAsia="Times New Roman"/>
          <w:color w:val="FF0000"/>
        </w:rPr>
        <w:t>15674292811</w:t>
      </w:r>
    </w:p>
    <w:p>
      <w:pPr>
        <w:spacing w:after="0"/>
        <w:jc w:val="center"/>
        <w:rPr>
          <w:rFonts w:ascii="Times New Roman" w:eastAsia="Times New Roman"/>
        </w:rPr>
        <w:sectPr>
          <w:footerReference w:type="default" r:id="rId10"/>
          <w:footerReference w:type="even" r:id="rId11"/>
          <w:pgSz w:w="11910" w:h="16840"/>
          <w:pgMar w:footer="850" w:header="1442" w:top="1660" w:bottom="1040" w:left="1140" w:right="740"/>
          <w:pgNumType w:start="3"/>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Heading1"/>
        <w:tabs>
          <w:tab w:pos="959" w:val="left" w:leader="none"/>
        </w:tabs>
        <w:spacing w:before="195"/>
      </w:pPr>
      <w:bookmarkStart w:name="引    言" w:id="4"/>
      <w:bookmarkEnd w:id="4"/>
      <w:r>
        <w:rPr/>
      </w:r>
      <w:bookmarkStart w:name="_bookmark1" w:id="5"/>
      <w:bookmarkEnd w:id="5"/>
      <w:r>
        <w:rPr/>
      </w:r>
      <w:r>
        <w:rPr/>
        <w:t>引</w:t>
        <w:tab/>
        <w:t>言</w:t>
      </w:r>
    </w:p>
    <w:p>
      <w:pPr>
        <w:pStyle w:val="BodyText"/>
        <w:spacing w:before="0"/>
        <w:rPr>
          <w:rFonts w:ascii="黑体"/>
          <w:sz w:val="20"/>
        </w:rPr>
      </w:pPr>
    </w:p>
    <w:p>
      <w:pPr>
        <w:pStyle w:val="BodyText"/>
        <w:spacing w:before="0"/>
        <w:rPr>
          <w:rFonts w:ascii="黑体"/>
          <w:sz w:val="18"/>
        </w:rPr>
      </w:pPr>
    </w:p>
    <w:p>
      <w:pPr>
        <w:pStyle w:val="ListParagraph"/>
        <w:numPr>
          <w:ilvl w:val="1"/>
          <w:numId w:val="8"/>
        </w:numPr>
        <w:tabs>
          <w:tab w:pos="675" w:val="left" w:leader="none"/>
        </w:tabs>
        <w:spacing w:line="240" w:lineRule="auto" w:before="0" w:after="0"/>
        <w:ind w:left="674" w:right="0" w:hanging="397"/>
        <w:jc w:val="left"/>
        <w:rPr>
          <w:rFonts w:ascii="黑体" w:eastAsia="黑体" w:hint="eastAsia"/>
          <w:sz w:val="21"/>
        </w:rPr>
      </w:pPr>
      <w:r>
        <w:rPr>
          <w:rFonts w:ascii="黑体" w:eastAsia="黑体" w:hint="eastAsia"/>
          <w:sz w:val="21"/>
        </w:rPr>
        <w:t>背景</w:t>
      </w:r>
    </w:p>
    <w:p>
      <w:pPr>
        <w:pStyle w:val="BodyText"/>
        <w:spacing w:before="7"/>
        <w:rPr>
          <w:rFonts w:ascii="黑体"/>
          <w:sz w:val="15"/>
        </w:rPr>
      </w:pPr>
    </w:p>
    <w:p>
      <w:pPr>
        <w:pStyle w:val="BodyText"/>
        <w:spacing w:line="278" w:lineRule="auto" w:before="0"/>
        <w:ind w:left="278" w:right="506" w:firstLine="420"/>
      </w:pPr>
      <w:r>
        <w:rPr>
          <w:w w:val="95"/>
        </w:rPr>
        <w:t>组织应对工作人员和可能受其活动影响的其他人员的职业健康安全负责，包括促进和保护他们的   </w:t>
      </w:r>
      <w:r>
        <w:rPr/>
        <w:t>生理和心理健康。</w:t>
      </w:r>
    </w:p>
    <w:p>
      <w:pPr>
        <w:pStyle w:val="BodyText"/>
        <w:spacing w:line="278" w:lineRule="auto" w:before="0"/>
        <w:ind w:left="278" w:right="506" w:firstLine="420"/>
      </w:pPr>
      <w:r>
        <w:rPr>
          <w:w w:val="95"/>
        </w:rPr>
        <w:t>采用职业健康安全管理体系旨在使组织能够提供健康安全的工作场所，防止与工作相关的伤害和   </w:t>
      </w:r>
      <w:r>
        <w:rPr/>
        <w:t>健康损害，并持续改进其职业健康安全绩效。</w:t>
      </w:r>
    </w:p>
    <w:p>
      <w:pPr>
        <w:pStyle w:val="BodyText"/>
        <w:spacing w:line="278" w:lineRule="auto" w:before="0"/>
        <w:ind w:left="278" w:right="506" w:firstLine="420"/>
        <w:jc w:val="both"/>
      </w:pPr>
      <w:r>
        <w:rPr>
          <w:w w:val="95"/>
        </w:rPr>
        <w:t>在职业健康安全领域，国家专门制定了一系列职业健康安全相关法律法规（如劳动法、安全生产   </w:t>
      </w:r>
      <w:r>
        <w:rPr>
          <w:spacing w:val="-9"/>
          <w:w w:val="95"/>
        </w:rPr>
        <w:t>法、职业病防治法、消防法、道路交通安全法、矿山安全法等</w:t>
      </w:r>
      <w:r>
        <w:rPr>
          <w:spacing w:val="-106"/>
          <w:w w:val="95"/>
        </w:rPr>
        <w:t>）</w:t>
      </w:r>
      <w:r>
        <w:rPr>
          <w:spacing w:val="-5"/>
          <w:w w:val="95"/>
        </w:rPr>
        <w:t>。这些法律法规所确立的职业健康安全   </w:t>
      </w:r>
      <w:r>
        <w:rPr>
          <w:spacing w:val="-5"/>
        </w:rPr>
        <w:t>制度和要求是组织建立和保持职业健康安全管理体系所必须考虑的制度、政策和技术背景。</w:t>
      </w:r>
    </w:p>
    <w:p>
      <w:pPr>
        <w:pStyle w:val="ListParagraph"/>
        <w:numPr>
          <w:ilvl w:val="1"/>
          <w:numId w:val="8"/>
        </w:numPr>
        <w:tabs>
          <w:tab w:pos="675" w:val="left" w:leader="none"/>
        </w:tabs>
        <w:spacing w:line="240" w:lineRule="auto" w:before="155" w:after="0"/>
        <w:ind w:left="674" w:right="0" w:hanging="397"/>
        <w:jc w:val="left"/>
        <w:rPr>
          <w:rFonts w:ascii="黑体" w:eastAsia="黑体" w:hint="eastAsia"/>
          <w:sz w:val="21"/>
        </w:rPr>
      </w:pPr>
      <w:r>
        <w:rPr>
          <w:rFonts w:ascii="黑体" w:eastAsia="黑体" w:hint="eastAsia"/>
          <w:sz w:val="21"/>
        </w:rPr>
        <w:t>职业健康安全管理体系的目的</w:t>
      </w:r>
    </w:p>
    <w:p>
      <w:pPr>
        <w:pStyle w:val="BodyText"/>
        <w:spacing w:before="7"/>
        <w:rPr>
          <w:rFonts w:ascii="黑体"/>
          <w:sz w:val="15"/>
        </w:rPr>
      </w:pPr>
    </w:p>
    <w:p>
      <w:pPr>
        <w:pStyle w:val="BodyText"/>
        <w:spacing w:line="278" w:lineRule="auto" w:before="0"/>
        <w:ind w:left="278" w:right="506" w:firstLine="420"/>
        <w:jc w:val="both"/>
      </w:pPr>
      <w:r>
        <w:rPr>
          <w:w w:val="95"/>
        </w:rPr>
        <w:t>职业健康安全管理体系的作用是为管理职业健康安全风险和机遇提供一个框架。职业健康安全管   理体系的目的和预期结果是防止对工作人员造成与工作相关的伤害和健康损害，并提供健康安全的工   作场所；因此，对组织而言，采取有效的预防和保护措施以消除危险源和最大限度地降低职业健康安   </w:t>
      </w:r>
      <w:r>
        <w:rPr/>
        <w:t>全风险至关重要。</w:t>
      </w:r>
    </w:p>
    <w:p>
      <w:pPr>
        <w:pStyle w:val="BodyText"/>
        <w:spacing w:line="278" w:lineRule="auto" w:before="0"/>
        <w:ind w:left="278" w:right="506" w:firstLine="420"/>
      </w:pPr>
      <w:r>
        <w:rPr>
          <w:w w:val="95"/>
        </w:rPr>
        <w:t>组织通过其职业健康安全管理体系应用这些措施时，能够提高其职业健康安全绩效。如果及早采   </w:t>
      </w:r>
      <w:r>
        <w:rPr/>
        <w:t>取措施以把握改进职业健康安全绩效的机会，职业健康安全管理体系将会更加有效和高效。</w:t>
      </w:r>
    </w:p>
    <w:p>
      <w:pPr>
        <w:pStyle w:val="BodyText"/>
        <w:spacing w:line="278" w:lineRule="auto" w:before="0"/>
        <w:ind w:left="278" w:right="508" w:firstLine="420"/>
      </w:pPr>
      <w:r>
        <w:rPr>
          <w:w w:val="95"/>
        </w:rPr>
        <w:t>实施符合本标准的职业健康安全管理体系，能使组织管理其职业健康安全风险并提升其职业健康   </w:t>
      </w:r>
      <w:r>
        <w:rPr/>
        <w:t>安全绩效。职业健康安全管理体系可有助于组织满足法律法规要求和其他要求。</w:t>
      </w:r>
    </w:p>
    <w:p>
      <w:pPr>
        <w:pStyle w:val="ListParagraph"/>
        <w:numPr>
          <w:ilvl w:val="1"/>
          <w:numId w:val="8"/>
        </w:numPr>
        <w:tabs>
          <w:tab w:pos="675" w:val="left" w:leader="none"/>
        </w:tabs>
        <w:spacing w:line="240" w:lineRule="auto" w:before="155" w:after="0"/>
        <w:ind w:left="674" w:right="0" w:hanging="397"/>
        <w:jc w:val="left"/>
        <w:rPr>
          <w:rFonts w:ascii="黑体" w:eastAsia="黑体" w:hint="eastAsia"/>
          <w:sz w:val="21"/>
        </w:rPr>
      </w:pPr>
      <w:r>
        <w:rPr>
          <w:rFonts w:ascii="黑体" w:eastAsia="黑体" w:hint="eastAsia"/>
          <w:sz w:val="21"/>
        </w:rPr>
        <w:t>成功因素</w:t>
      </w:r>
    </w:p>
    <w:p>
      <w:pPr>
        <w:pStyle w:val="BodyText"/>
        <w:spacing w:before="7"/>
        <w:rPr>
          <w:rFonts w:ascii="黑体"/>
          <w:sz w:val="15"/>
        </w:rPr>
      </w:pPr>
    </w:p>
    <w:p>
      <w:pPr>
        <w:pStyle w:val="BodyText"/>
        <w:spacing w:line="278" w:lineRule="auto" w:before="0"/>
        <w:ind w:left="278" w:right="506" w:firstLine="420"/>
      </w:pPr>
      <w:r>
        <w:rPr>
          <w:w w:val="95"/>
        </w:rPr>
        <w:t>对组织而言，实施职业健康安全管理体系是一项战略和经营决策。职业健康安全管理体系的成功   </w:t>
      </w:r>
      <w:r>
        <w:rPr/>
        <w:t>取决于领导作用、承诺以及组织各层次和职能的参与。</w:t>
      </w:r>
    </w:p>
    <w:p>
      <w:pPr>
        <w:pStyle w:val="BodyText"/>
        <w:spacing w:line="278" w:lineRule="auto" w:before="0"/>
        <w:ind w:left="278" w:right="506" w:firstLine="420"/>
      </w:pPr>
      <w:r>
        <w:rPr>
          <w:w w:val="95"/>
        </w:rPr>
        <w:t>职业健康安全管理体系的实施和保持，其有效性和实现预期结果的能力取决于诸多关键因素。这   </w:t>
      </w:r>
      <w:r>
        <w:rPr/>
        <w:t>些关键因素可包括：</w:t>
      </w:r>
    </w:p>
    <w:p>
      <w:pPr>
        <w:pStyle w:val="ListParagraph"/>
        <w:numPr>
          <w:ilvl w:val="2"/>
          <w:numId w:val="8"/>
        </w:numPr>
        <w:tabs>
          <w:tab w:pos="1019" w:val="left" w:leader="none"/>
        </w:tabs>
        <w:spacing w:line="269" w:lineRule="exact" w:before="0" w:after="0"/>
        <w:ind w:left="1018" w:right="0" w:hanging="321"/>
        <w:jc w:val="left"/>
        <w:rPr>
          <w:sz w:val="21"/>
        </w:rPr>
      </w:pPr>
      <w:r>
        <w:rPr>
          <w:sz w:val="21"/>
        </w:rPr>
        <w:t>最高管理者的领导作用、承诺、职责和担当；</w:t>
      </w:r>
    </w:p>
    <w:p>
      <w:pPr>
        <w:pStyle w:val="ListParagraph"/>
        <w:numPr>
          <w:ilvl w:val="2"/>
          <w:numId w:val="8"/>
        </w:numPr>
        <w:tabs>
          <w:tab w:pos="1022" w:val="left" w:leader="none"/>
        </w:tabs>
        <w:spacing w:line="278" w:lineRule="auto" w:before="42" w:after="0"/>
        <w:ind w:left="698" w:right="816" w:hanging="3"/>
        <w:jc w:val="left"/>
        <w:rPr>
          <w:sz w:val="21"/>
        </w:rPr>
      </w:pPr>
      <w:r>
        <w:rPr>
          <w:w w:val="95"/>
          <w:sz w:val="21"/>
        </w:rPr>
        <w:t>最高管理者在组织内建立、引导和促进支持实现职业健康安全管理体系预期结果的文化；  </w:t>
      </w:r>
      <w:r>
        <w:rPr>
          <w:rFonts w:ascii="Tahoma" w:eastAsia="Tahoma"/>
          <w:sz w:val="21"/>
        </w:rPr>
        <w:t>c</w:t>
      </w:r>
      <w:r>
        <w:rPr>
          <w:sz w:val="21"/>
        </w:rPr>
        <w:t>）沟通；</w:t>
      </w:r>
    </w:p>
    <w:p>
      <w:pPr>
        <w:pStyle w:val="ListParagraph"/>
        <w:numPr>
          <w:ilvl w:val="0"/>
          <w:numId w:val="9"/>
        </w:numPr>
        <w:tabs>
          <w:tab w:pos="1024" w:val="left" w:leader="none"/>
        </w:tabs>
        <w:spacing w:line="269" w:lineRule="exact" w:before="0" w:after="0"/>
        <w:ind w:left="1023" w:right="0" w:hanging="326"/>
        <w:jc w:val="left"/>
        <w:rPr>
          <w:sz w:val="21"/>
        </w:rPr>
      </w:pPr>
      <w:r>
        <w:rPr>
          <w:sz w:val="21"/>
        </w:rPr>
        <w:t>工作人员及其代表（若有）的协商和参与；</w:t>
      </w:r>
    </w:p>
    <w:p>
      <w:pPr>
        <w:pStyle w:val="ListParagraph"/>
        <w:numPr>
          <w:ilvl w:val="0"/>
          <w:numId w:val="9"/>
        </w:numPr>
        <w:tabs>
          <w:tab w:pos="1019" w:val="left" w:leader="none"/>
        </w:tabs>
        <w:spacing w:line="278" w:lineRule="auto" w:before="43" w:after="0"/>
        <w:ind w:left="698" w:right="4221" w:firstLine="0"/>
        <w:jc w:val="left"/>
        <w:rPr>
          <w:sz w:val="21"/>
        </w:rPr>
      </w:pPr>
      <w:r>
        <w:rPr>
          <w:sz w:val="21"/>
        </w:rPr>
        <w:t>为保持职业健康安全管理体系而所需的资源配置； </w:t>
      </w:r>
      <w:r>
        <w:rPr>
          <w:rFonts w:ascii="Tahoma" w:eastAsia="Tahoma"/>
          <w:w w:val="95"/>
          <w:sz w:val="21"/>
        </w:rPr>
        <w:t>f</w:t>
      </w:r>
      <w:r>
        <w:rPr>
          <w:w w:val="95"/>
          <w:sz w:val="21"/>
        </w:rPr>
        <w:t>）符合组织总体战略目标和方向的职业健康安全方针；</w:t>
      </w:r>
    </w:p>
    <w:p>
      <w:pPr>
        <w:pStyle w:val="BodyText"/>
        <w:spacing w:line="278" w:lineRule="auto" w:before="0"/>
        <w:ind w:left="698" w:right="1980"/>
      </w:pPr>
      <w:r>
        <w:rPr>
          <w:rFonts w:ascii="Tahoma" w:eastAsia="Tahoma"/>
        </w:rPr>
        <w:t>g</w:t>
      </w:r>
      <w:r>
        <w:rPr/>
        <w:t>）辨识危险源、控制职业健康安全风险和利用职业健康安全机遇的有效过程； </w:t>
      </w:r>
      <w:r>
        <w:rPr>
          <w:rFonts w:ascii="Tahoma" w:eastAsia="Tahoma"/>
          <w:w w:val="95"/>
        </w:rPr>
        <w:t>h</w:t>
      </w:r>
      <w:r>
        <w:rPr>
          <w:w w:val="95"/>
        </w:rPr>
        <w:t>）为提升职业健康安全绩效而对职业健康安全管理体系绩效的持续监视和评价；  </w:t>
      </w:r>
      <w:r>
        <w:rPr>
          <w:rFonts w:ascii="Tahoma" w:eastAsia="Tahoma"/>
        </w:rPr>
        <w:t>i</w:t>
      </w:r>
      <w:r>
        <w:rPr/>
        <w:t>）将职业健康安全管理体系融入组织的业务过程；</w:t>
      </w:r>
    </w:p>
    <w:p>
      <w:pPr>
        <w:pStyle w:val="ListParagraph"/>
        <w:numPr>
          <w:ilvl w:val="0"/>
          <w:numId w:val="10"/>
        </w:numPr>
        <w:tabs>
          <w:tab w:pos="966" w:val="left" w:leader="none"/>
        </w:tabs>
        <w:spacing w:line="278" w:lineRule="auto" w:before="0" w:after="0"/>
        <w:ind w:left="984" w:right="505" w:hanging="288"/>
        <w:jc w:val="left"/>
        <w:rPr>
          <w:sz w:val="21"/>
        </w:rPr>
      </w:pPr>
      <w:r>
        <w:rPr>
          <w:spacing w:val="-2"/>
          <w:sz w:val="21"/>
        </w:rPr>
        <w:t>符合职业健康安全方针并必须考虑组织的危险源、职业健康安全风险和职业健康安全机遇的职业健康安全目标；</w:t>
      </w:r>
    </w:p>
    <w:p>
      <w:pPr>
        <w:pStyle w:val="ListParagraph"/>
        <w:numPr>
          <w:ilvl w:val="0"/>
          <w:numId w:val="10"/>
        </w:numPr>
        <w:tabs>
          <w:tab w:pos="1013" w:val="left" w:leader="none"/>
        </w:tabs>
        <w:spacing w:line="269" w:lineRule="exact" w:before="0" w:after="0"/>
        <w:ind w:left="1012" w:right="0" w:hanging="315"/>
        <w:jc w:val="left"/>
        <w:rPr>
          <w:sz w:val="21"/>
        </w:rPr>
      </w:pPr>
      <w:r>
        <w:rPr>
          <w:sz w:val="21"/>
        </w:rPr>
        <w:t>符合法律法规要求和其他要求。</w:t>
      </w:r>
    </w:p>
    <w:p>
      <w:pPr>
        <w:pStyle w:val="BodyText"/>
        <w:spacing w:line="278" w:lineRule="auto" w:before="42"/>
        <w:ind w:left="278" w:right="506" w:firstLine="420"/>
      </w:pPr>
      <w:r>
        <w:rPr>
          <w:w w:val="95"/>
        </w:rPr>
        <w:t>成功实施本标准可使工作人员和其他相关方确信组织已建立了有效的职业健康安全管理体系。然   而，采用本标准并不能够完全保证防止工作人员受到与工作相关的伤害和健康损害，提供健康安全的</w:t>
      </w:r>
    </w:p>
    <w:p>
      <w:pPr>
        <w:spacing w:after="0" w:line="278" w:lineRule="auto"/>
        <w:sectPr>
          <w:pgSz w:w="11910" w:h="16840"/>
          <w:pgMar w:header="1442" w:footer="850" w:top="1660" w:bottom="1040" w:left="1140" w:right="740"/>
        </w:sectPr>
      </w:pPr>
    </w:p>
    <w:p>
      <w:pPr>
        <w:pStyle w:val="BodyText"/>
        <w:spacing w:before="157"/>
        <w:ind w:left="278"/>
      </w:pPr>
      <w:r>
        <w:rPr/>
        <w:t>工作场所和改进职业健康安全绩效。</w:t>
      </w:r>
    </w:p>
    <w:p>
      <w:pPr>
        <w:pStyle w:val="BodyText"/>
        <w:spacing w:line="278" w:lineRule="auto"/>
        <w:ind w:left="278" w:right="506" w:firstLine="420"/>
      </w:pPr>
      <w:r>
        <w:rPr>
          <w:w w:val="95"/>
        </w:rPr>
        <w:t>为了确保组织职业健康安全管理体系成功，文件化信息的详略水平、复杂性和文件化程度以及所   </w:t>
      </w:r>
      <w:r>
        <w:rPr/>
        <w:t>需资源取决于多方面因素，例如：</w:t>
      </w:r>
    </w:p>
    <w:p>
      <w:pPr>
        <w:pStyle w:val="BodyText"/>
        <w:spacing w:line="269" w:lineRule="exact" w:before="0"/>
        <w:ind w:left="698"/>
      </w:pPr>
      <w:r>
        <w:rPr/>
        <w:t>——组织所处的环境（如工作人员数量、规模、地理位置、文化、法律法规要求和其他要求）；</w:t>
      </w:r>
    </w:p>
    <w:p>
      <w:pPr>
        <w:pStyle w:val="BodyText"/>
        <w:ind w:left="698"/>
      </w:pPr>
      <w:r>
        <w:rPr/>
        <w:t>——组织职业健康安全管理体系的范围；</w:t>
      </w:r>
    </w:p>
    <w:p>
      <w:pPr>
        <w:pStyle w:val="BodyText"/>
        <w:ind w:left="698"/>
      </w:pPr>
      <w:r>
        <w:rPr/>
        <w:t>——组织活动的性质和相关的职业健康安全风险。</w:t>
      </w:r>
    </w:p>
    <w:p>
      <w:pPr>
        <w:pStyle w:val="BodyText"/>
        <w:spacing w:before="7"/>
        <w:rPr>
          <w:sz w:val="15"/>
        </w:rPr>
      </w:pPr>
    </w:p>
    <w:p>
      <w:pPr>
        <w:pStyle w:val="ListParagraph"/>
        <w:numPr>
          <w:ilvl w:val="1"/>
          <w:numId w:val="8"/>
        </w:numPr>
        <w:tabs>
          <w:tab w:pos="675" w:val="left" w:leader="none"/>
        </w:tabs>
        <w:spacing w:line="240" w:lineRule="auto" w:before="0" w:after="0"/>
        <w:ind w:left="674" w:right="0" w:hanging="397"/>
        <w:jc w:val="left"/>
        <w:rPr>
          <w:rFonts w:ascii="黑体" w:hAnsi="黑体" w:eastAsia="黑体" w:hint="eastAsia"/>
          <w:sz w:val="21"/>
        </w:rPr>
      </w:pPr>
      <w:r>
        <w:rPr>
          <w:rFonts w:ascii="黑体" w:hAnsi="黑体" w:eastAsia="黑体" w:hint="eastAsia"/>
          <w:sz w:val="21"/>
        </w:rPr>
        <w:t>“策划</w:t>
      </w:r>
      <w:r>
        <w:rPr>
          <w:rFonts w:ascii="Arial" w:hAnsi="Arial" w:eastAsia="Arial"/>
          <w:sz w:val="21"/>
        </w:rPr>
        <w:t>-</w:t>
      </w:r>
      <w:r>
        <w:rPr>
          <w:rFonts w:ascii="黑体" w:hAnsi="黑体" w:eastAsia="黑体" w:hint="eastAsia"/>
          <w:sz w:val="21"/>
        </w:rPr>
        <w:t>实施</w:t>
      </w:r>
      <w:r>
        <w:rPr>
          <w:rFonts w:ascii="Arial" w:hAnsi="Arial" w:eastAsia="Arial"/>
          <w:sz w:val="21"/>
        </w:rPr>
        <w:t>-</w:t>
      </w:r>
      <w:r>
        <w:rPr>
          <w:rFonts w:ascii="黑体" w:hAnsi="黑体" w:eastAsia="黑体" w:hint="eastAsia"/>
          <w:sz w:val="21"/>
        </w:rPr>
        <w:t>检查</w:t>
      </w:r>
      <w:r>
        <w:rPr>
          <w:rFonts w:ascii="Arial" w:hAnsi="Arial" w:eastAsia="Arial"/>
          <w:sz w:val="21"/>
        </w:rPr>
        <w:t>-</w:t>
      </w:r>
      <w:r>
        <w:rPr>
          <w:rFonts w:ascii="黑体" w:hAnsi="黑体" w:eastAsia="黑体" w:hint="eastAsia"/>
          <w:sz w:val="21"/>
        </w:rPr>
        <w:t>改进”循环</w:t>
      </w:r>
    </w:p>
    <w:p>
      <w:pPr>
        <w:pStyle w:val="BodyText"/>
        <w:spacing w:before="6"/>
        <w:rPr>
          <w:rFonts w:ascii="黑体"/>
          <w:sz w:val="15"/>
        </w:rPr>
      </w:pPr>
    </w:p>
    <w:p>
      <w:pPr>
        <w:pStyle w:val="BodyText"/>
        <w:spacing w:line="278" w:lineRule="auto" w:before="1"/>
        <w:ind w:left="698" w:right="403"/>
      </w:pPr>
      <w:r>
        <w:rPr>
          <w:spacing w:val="-4"/>
          <w:w w:val="99"/>
        </w:rPr>
        <w:t>本标准中所采用的职业健康安全管理体系的方法是基于“策划-实施-检查-改进</w:t>
      </w:r>
      <w:r>
        <w:rPr>
          <w:spacing w:val="-1"/>
          <w:w w:val="99"/>
        </w:rPr>
        <w:t>（</w:t>
      </w:r>
      <w:r>
        <w:rPr>
          <w:spacing w:val="1"/>
          <w:w w:val="99"/>
        </w:rPr>
        <w:t>PDC</w:t>
      </w:r>
      <w:r>
        <w:rPr>
          <w:spacing w:val="-2"/>
          <w:w w:val="99"/>
        </w:rPr>
        <w:t>A</w:t>
      </w:r>
      <w:r>
        <w:rPr>
          <w:spacing w:val="-104"/>
          <w:w w:val="99"/>
        </w:rPr>
        <w:t>）</w:t>
      </w:r>
      <w:r>
        <w:rPr>
          <w:spacing w:val="-8"/>
          <w:w w:val="99"/>
        </w:rPr>
        <w:t>”的概念。 </w:t>
      </w:r>
      <w:r>
        <w:rPr>
          <w:spacing w:val="-8"/>
        </w:rPr>
        <w:t>PDCA</w:t>
      </w:r>
      <w:r>
        <w:rPr>
          <w:spacing w:val="-7"/>
        </w:rPr>
        <w:t> 概念是一个迭代过程,可被组织用于实现持续改进。它可应用于管理体系及其每个单独的要</w:t>
      </w:r>
    </w:p>
    <w:p>
      <w:pPr>
        <w:pStyle w:val="BodyText"/>
        <w:spacing w:line="269" w:lineRule="exact" w:before="0"/>
        <w:ind w:left="278"/>
      </w:pPr>
      <w:r>
        <w:rPr/>
        <w:t>素，具体如下：</w:t>
      </w:r>
    </w:p>
    <w:p>
      <w:pPr>
        <w:pStyle w:val="BodyText"/>
        <w:spacing w:line="278" w:lineRule="auto" w:before="42"/>
        <w:ind w:left="1118" w:right="501" w:hanging="420"/>
        <w:jc w:val="both"/>
      </w:pPr>
      <w:r>
        <w:rPr>
          <w:spacing w:val="-3"/>
          <w:w w:val="95"/>
        </w:rPr>
        <w:t>——策划</w:t>
      </w:r>
      <w:r>
        <w:rPr>
          <w:spacing w:val="-6"/>
          <w:w w:val="95"/>
        </w:rPr>
        <w:t>（</w:t>
      </w:r>
      <w:r>
        <w:rPr>
          <w:rFonts w:ascii="Tahoma" w:hAnsi="Tahoma" w:eastAsia="Tahoma"/>
          <w:spacing w:val="-6"/>
          <w:w w:val="95"/>
        </w:rPr>
        <w:t>P</w:t>
      </w:r>
      <w:r>
        <w:rPr>
          <w:spacing w:val="-6"/>
          <w:w w:val="95"/>
        </w:rPr>
        <w:t>：</w:t>
      </w:r>
      <w:r>
        <w:rPr>
          <w:rFonts w:ascii="Tahoma" w:hAnsi="Tahoma" w:eastAsia="Tahoma"/>
          <w:spacing w:val="-6"/>
          <w:w w:val="95"/>
        </w:rPr>
        <w:t>Plan</w:t>
      </w:r>
      <w:r>
        <w:rPr>
          <w:spacing w:val="-6"/>
          <w:w w:val="95"/>
        </w:rPr>
        <w:t>）</w:t>
      </w:r>
      <w:r>
        <w:rPr>
          <w:spacing w:val="-4"/>
          <w:w w:val="95"/>
        </w:rPr>
        <w:t>：确定和评价职业健康安全风险、职业健康安全机遇以及其他风险和其他机   </w:t>
      </w:r>
      <w:r>
        <w:rPr>
          <w:spacing w:val="-4"/>
        </w:rPr>
        <w:t>遇，制定职业健康安全目标并建立所需的过程，以实现与组织职业健康安全方针相一致的结果。</w:t>
      </w:r>
    </w:p>
    <w:p>
      <w:pPr>
        <w:pStyle w:val="BodyText"/>
        <w:spacing w:line="269" w:lineRule="exact" w:before="0"/>
        <w:ind w:left="698"/>
      </w:pPr>
      <w:r>
        <w:rPr/>
        <w:t>——实施（</w:t>
      </w:r>
      <w:r>
        <w:rPr>
          <w:rFonts w:ascii="Tahoma" w:hAnsi="Tahoma" w:eastAsia="Tahoma"/>
        </w:rPr>
        <w:t>D</w:t>
      </w:r>
      <w:r>
        <w:rPr/>
        <w:t>：</w:t>
      </w:r>
      <w:r>
        <w:rPr>
          <w:rFonts w:ascii="Tahoma" w:hAnsi="Tahoma" w:eastAsia="Tahoma"/>
        </w:rPr>
        <w:t>Do</w:t>
      </w:r>
      <w:r>
        <w:rPr/>
        <w:t>）：实施所策划的过程。</w:t>
      </w:r>
    </w:p>
    <w:p>
      <w:pPr>
        <w:pStyle w:val="BodyText"/>
        <w:spacing w:line="278" w:lineRule="auto"/>
        <w:ind w:left="1128" w:right="501" w:hanging="430"/>
      </w:pPr>
      <w:r>
        <w:rPr>
          <w:spacing w:val="-1"/>
          <w:w w:val="95"/>
        </w:rPr>
        <w:t>——检查</w:t>
      </w:r>
      <w:r>
        <w:rPr>
          <w:spacing w:val="-3"/>
          <w:w w:val="95"/>
        </w:rPr>
        <w:t>（</w:t>
      </w:r>
      <w:r>
        <w:rPr>
          <w:rFonts w:ascii="Tahoma" w:hAnsi="Tahoma" w:eastAsia="Tahoma"/>
          <w:spacing w:val="-3"/>
          <w:w w:val="95"/>
        </w:rPr>
        <w:t>C</w:t>
      </w:r>
      <w:r>
        <w:rPr>
          <w:spacing w:val="-3"/>
          <w:w w:val="95"/>
        </w:rPr>
        <w:t>：</w:t>
      </w:r>
      <w:r>
        <w:rPr>
          <w:rFonts w:ascii="Tahoma" w:hAnsi="Tahoma" w:eastAsia="Tahoma"/>
          <w:spacing w:val="-3"/>
          <w:w w:val="95"/>
        </w:rPr>
        <w:t>Check</w:t>
      </w:r>
      <w:r>
        <w:rPr>
          <w:spacing w:val="-3"/>
          <w:w w:val="95"/>
        </w:rPr>
        <w:t>）：</w:t>
      </w:r>
      <w:r>
        <w:rPr>
          <w:spacing w:val="-2"/>
          <w:w w:val="95"/>
        </w:rPr>
        <w:t>依据职业健康安全方针和目标，对活动和过程进行监视和测量，并报告   </w:t>
      </w:r>
      <w:r>
        <w:rPr>
          <w:spacing w:val="-2"/>
        </w:rPr>
        <w:t>结果。</w:t>
      </w:r>
    </w:p>
    <w:p>
      <w:pPr>
        <w:pStyle w:val="BodyText"/>
        <w:spacing w:line="278" w:lineRule="auto" w:before="0"/>
        <w:ind w:left="698" w:right="1970"/>
      </w:pPr>
      <w:r>
        <w:rPr>
          <w:spacing w:val="2"/>
          <w:w w:val="95"/>
        </w:rPr>
        <w:t>——改进</w:t>
      </w:r>
      <w:r>
        <w:rPr>
          <w:w w:val="95"/>
        </w:rPr>
        <w:t>（</w:t>
      </w:r>
      <w:r>
        <w:rPr>
          <w:rFonts w:ascii="Tahoma" w:hAnsi="Tahoma" w:eastAsia="Tahoma"/>
          <w:w w:val="95"/>
        </w:rPr>
        <w:t>A</w:t>
      </w:r>
      <w:r>
        <w:rPr>
          <w:w w:val="95"/>
        </w:rPr>
        <w:t>：</w:t>
      </w:r>
      <w:r>
        <w:rPr>
          <w:rFonts w:ascii="Tahoma" w:hAnsi="Tahoma" w:eastAsia="Tahoma"/>
          <w:w w:val="95"/>
        </w:rPr>
        <w:t>Act</w:t>
      </w:r>
      <w:r>
        <w:rPr>
          <w:w w:val="95"/>
        </w:rPr>
        <w:t>）：采取措施持续改进职业健康安全绩效，以实现预期结果。  </w:t>
      </w:r>
      <w:r>
        <w:rPr>
          <w:spacing w:val="-11"/>
        </w:rPr>
        <w:t>本标准将 </w:t>
      </w:r>
      <w:r>
        <w:rPr>
          <w:rFonts w:ascii="Times New Roman" w:hAnsi="Times New Roman" w:eastAsia="Times New Roman"/>
        </w:rPr>
        <w:t>PDCA</w:t>
      </w:r>
      <w:r>
        <w:rPr>
          <w:rFonts w:ascii="Times New Roman" w:hAnsi="Times New Roman" w:eastAsia="Times New Roman"/>
          <w:spacing w:val="2"/>
        </w:rPr>
        <w:t> </w:t>
      </w:r>
      <w:r>
        <w:rPr>
          <w:spacing w:val="-4"/>
        </w:rPr>
        <w:t>概念融入一个新框架中，如图 </w:t>
      </w:r>
      <w:r>
        <w:rPr>
          <w:rFonts w:ascii="Times New Roman" w:hAnsi="Times New Roman" w:eastAsia="Times New Roman"/>
        </w:rPr>
        <w:t>1</w:t>
      </w:r>
      <w:r>
        <w:rPr>
          <w:rFonts w:ascii="Times New Roman" w:hAnsi="Times New Roman" w:eastAsia="Times New Roman"/>
          <w:spacing w:val="1"/>
        </w:rPr>
        <w:t> </w:t>
      </w:r>
      <w:r>
        <w:rPr/>
        <w:t>所示。</w:t>
      </w:r>
    </w:p>
    <w:p>
      <w:pPr>
        <w:pStyle w:val="BodyText"/>
        <w:spacing w:before="8"/>
        <w:rPr>
          <w:sz w:val="13"/>
        </w:rPr>
      </w:pPr>
      <w:r>
        <w:rPr/>
        <w:drawing>
          <wp:anchor distT="0" distB="0" distL="0" distR="0" allowOverlap="1" layoutInCell="1" locked="0" behindDoc="0" simplePos="0" relativeHeight="3">
            <wp:simplePos x="0" y="0"/>
            <wp:positionH relativeFrom="page">
              <wp:posOffset>2074250</wp:posOffset>
            </wp:positionH>
            <wp:positionV relativeFrom="paragraph">
              <wp:posOffset>135917</wp:posOffset>
            </wp:positionV>
            <wp:extent cx="3736668" cy="4024503"/>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14" cstate="print"/>
                    <a:stretch>
                      <a:fillRect/>
                    </a:stretch>
                  </pic:blipFill>
                  <pic:spPr>
                    <a:xfrm>
                      <a:off x="0" y="0"/>
                      <a:ext cx="3736668" cy="4024503"/>
                    </a:xfrm>
                    <a:prstGeom prst="rect">
                      <a:avLst/>
                    </a:prstGeom>
                  </pic:spPr>
                </pic:pic>
              </a:graphicData>
            </a:graphic>
          </wp:anchor>
        </w:drawing>
      </w:r>
    </w:p>
    <w:p>
      <w:pPr>
        <w:pStyle w:val="BodyText"/>
        <w:spacing w:before="8"/>
        <w:rPr>
          <w:sz w:val="23"/>
        </w:rPr>
      </w:pPr>
    </w:p>
    <w:p>
      <w:pPr>
        <w:spacing w:before="1"/>
        <w:ind w:left="698" w:right="0" w:firstLine="0"/>
        <w:jc w:val="left"/>
        <w:rPr>
          <w:sz w:val="18"/>
        </w:rPr>
      </w:pPr>
      <w:r>
        <w:rPr>
          <w:sz w:val="18"/>
        </w:rPr>
        <w:t>注：括号内的数字是指本标准的相应章条号。</w:t>
      </w:r>
    </w:p>
    <w:p>
      <w:pPr>
        <w:pStyle w:val="BodyText"/>
        <w:tabs>
          <w:tab w:pos="578" w:val="left" w:leader="none"/>
        </w:tabs>
        <w:spacing w:before="61"/>
        <w:ind w:right="230"/>
        <w:jc w:val="center"/>
        <w:rPr>
          <w:rFonts w:ascii="黑体" w:eastAsia="黑体" w:hint="eastAsia"/>
        </w:rPr>
      </w:pPr>
      <w:r>
        <w:rPr>
          <w:rFonts w:ascii="黑体" w:eastAsia="黑体" w:hint="eastAsia"/>
        </w:rPr>
        <w:t>图</w:t>
      </w:r>
      <w:r>
        <w:rPr>
          <w:rFonts w:ascii="黑体" w:eastAsia="黑体" w:hint="eastAsia"/>
          <w:spacing w:val="-54"/>
        </w:rPr>
        <w:t> </w:t>
      </w:r>
      <w:r>
        <w:rPr>
          <w:rFonts w:ascii="黑体" w:eastAsia="黑体" w:hint="eastAsia"/>
        </w:rPr>
        <w:t>1</w:t>
        <w:tab/>
      </w:r>
      <w:bookmarkStart w:name="_bookmark2" w:id="6"/>
      <w:bookmarkEnd w:id="6"/>
      <w:r>
        <w:rPr>
          <w:rFonts w:ascii="黑体" w:eastAsia="黑体" w:hint="eastAsia"/>
        </w:rPr>
        <w:t>P</w:t>
      </w:r>
      <w:r>
        <w:rPr>
          <w:rFonts w:ascii="黑体" w:eastAsia="黑体" w:hint="eastAsia"/>
        </w:rPr>
        <w:t>DCA</w:t>
      </w:r>
      <w:r>
        <w:rPr>
          <w:rFonts w:ascii="黑体" w:eastAsia="黑体" w:hint="eastAsia"/>
          <w:spacing w:val="-54"/>
        </w:rPr>
        <w:t> </w:t>
      </w:r>
      <w:r>
        <w:rPr>
          <w:rFonts w:ascii="黑体" w:eastAsia="黑体" w:hint="eastAsia"/>
        </w:rPr>
        <w:t>与本标准框架之间的关系</w:t>
      </w:r>
    </w:p>
    <w:p>
      <w:pPr>
        <w:spacing w:after="0"/>
        <w:jc w:val="center"/>
        <w:rPr>
          <w:rFonts w:ascii="黑体" w:eastAsia="黑体" w:hint="eastAsia"/>
        </w:rPr>
        <w:sectPr>
          <w:footerReference w:type="default" r:id="rId12"/>
          <w:footerReference w:type="even" r:id="rId13"/>
          <w:pgSz w:w="11910" w:h="16840"/>
          <w:pgMar w:footer="850" w:header="1442" w:top="1660" w:bottom="1040" w:left="1140" w:right="740"/>
          <w:pgNumType w:start="5"/>
        </w:sectPr>
      </w:pPr>
    </w:p>
    <w:p>
      <w:pPr>
        <w:pStyle w:val="ListParagraph"/>
        <w:numPr>
          <w:ilvl w:val="1"/>
          <w:numId w:val="8"/>
        </w:numPr>
        <w:tabs>
          <w:tab w:pos="675" w:val="left" w:leader="none"/>
        </w:tabs>
        <w:spacing w:line="240" w:lineRule="auto" w:before="157" w:after="0"/>
        <w:ind w:left="674" w:right="0" w:hanging="397"/>
        <w:jc w:val="left"/>
        <w:rPr>
          <w:rFonts w:ascii="黑体" w:eastAsia="黑体" w:hint="eastAsia"/>
          <w:sz w:val="21"/>
        </w:rPr>
      </w:pPr>
      <w:r>
        <w:rPr>
          <w:rFonts w:ascii="黑体" w:eastAsia="黑体" w:hint="eastAsia"/>
          <w:sz w:val="21"/>
        </w:rPr>
        <w:t>本标准内容</w:t>
      </w:r>
    </w:p>
    <w:p>
      <w:pPr>
        <w:pStyle w:val="BodyText"/>
        <w:spacing w:before="7"/>
        <w:rPr>
          <w:rFonts w:ascii="黑体"/>
          <w:sz w:val="15"/>
        </w:rPr>
      </w:pPr>
    </w:p>
    <w:p>
      <w:pPr>
        <w:pStyle w:val="BodyText"/>
        <w:spacing w:line="278" w:lineRule="auto" w:before="0"/>
        <w:ind w:left="278" w:right="403" w:firstLine="420"/>
      </w:pPr>
      <w:r>
        <w:rPr>
          <w:spacing w:val="-3"/>
        </w:rPr>
        <w:t>本标准符合国际标准化组织</w:t>
      </w:r>
      <w:r>
        <w:rPr>
          <w:spacing w:val="-5"/>
        </w:rPr>
        <w:t>（</w:t>
      </w:r>
      <w:r>
        <w:rPr>
          <w:rFonts w:ascii="Calibri" w:eastAsia="Calibri"/>
          <w:spacing w:val="-5"/>
        </w:rPr>
        <w:t>ISO</w:t>
      </w:r>
      <w:r>
        <w:rPr>
          <w:spacing w:val="-5"/>
        </w:rPr>
        <w:t>）</w:t>
      </w:r>
      <w:r>
        <w:rPr>
          <w:spacing w:val="-3"/>
        </w:rPr>
        <w:t>对管理体系标准的要求。这些要求包括一个统一的高层结构和</w:t>
      </w:r>
      <w:r>
        <w:rPr>
          <w:spacing w:val="-9"/>
        </w:rPr>
        <w:t>相同的核心正文以及具有核心定义的通用术语，旨在方便本标准的使用者实施多个 </w:t>
      </w:r>
      <w:r>
        <w:rPr>
          <w:rFonts w:ascii="Calibri" w:eastAsia="Calibri"/>
        </w:rPr>
        <w:t>ISO </w:t>
      </w:r>
      <w:r>
        <w:rPr/>
        <w:t>管理体系标准。</w:t>
      </w:r>
    </w:p>
    <w:p>
      <w:pPr>
        <w:pStyle w:val="BodyText"/>
        <w:spacing w:line="278" w:lineRule="auto" w:before="0"/>
        <w:ind w:left="278" w:right="508" w:firstLine="420"/>
      </w:pPr>
      <w:r>
        <w:rPr>
          <w:w w:val="95"/>
        </w:rPr>
        <w:t>尽管本标准的要素可与其他管理体系兼容或整合，但本标准并不包含针对其他主题（如质量、社   </w:t>
      </w:r>
      <w:r>
        <w:rPr/>
        <w:t>会责任、环境、治安保卫或财务管理等）的要求。</w:t>
      </w:r>
    </w:p>
    <w:p>
      <w:pPr>
        <w:pStyle w:val="BodyText"/>
        <w:spacing w:line="278" w:lineRule="auto" w:before="0"/>
        <w:ind w:left="278" w:right="506" w:firstLine="420"/>
      </w:pPr>
      <w:r>
        <w:rPr>
          <w:w w:val="95"/>
        </w:rPr>
        <w:t>本标准包含了组织可用于实施职业健康安全管理体系和开展符合性评价的要求。希望证实符合本   </w:t>
      </w:r>
      <w:r>
        <w:rPr/>
        <w:t>标准的组织可通过以下方式来实现：</w:t>
      </w:r>
    </w:p>
    <w:p>
      <w:pPr>
        <w:pStyle w:val="BodyText"/>
        <w:spacing w:line="269" w:lineRule="exact" w:before="0"/>
        <w:ind w:left="698"/>
      </w:pPr>
      <w:r>
        <w:rPr/>
        <w:t>——开展自我评价和声明；</w:t>
      </w:r>
    </w:p>
    <w:p>
      <w:pPr>
        <w:pStyle w:val="BodyText"/>
        <w:ind w:left="698"/>
      </w:pPr>
      <w:r>
        <w:rPr/>
        <w:t>——寻求组织的相关方（如顾客）对其符合性进行确认；</w:t>
      </w:r>
    </w:p>
    <w:p>
      <w:pPr>
        <w:pStyle w:val="BodyText"/>
        <w:spacing w:before="42"/>
        <w:ind w:left="698"/>
      </w:pPr>
      <w:r>
        <w:rPr/>
        <w:t>——寻求组织的外部机构对其自我声明的确认；</w:t>
      </w:r>
    </w:p>
    <w:p>
      <w:pPr>
        <w:pStyle w:val="BodyText"/>
        <w:ind w:left="698"/>
      </w:pPr>
      <w:r>
        <w:rPr/>
        <w:t>——寻求外部组织对其职业健康安全管理体系进行认证或注册。</w:t>
      </w:r>
    </w:p>
    <w:p>
      <w:pPr>
        <w:pStyle w:val="BodyText"/>
        <w:spacing w:line="278" w:lineRule="auto"/>
        <w:ind w:left="278" w:right="393" w:firstLine="420"/>
      </w:pPr>
      <w:r>
        <w:rPr>
          <w:spacing w:val="-10"/>
        </w:rPr>
        <w:t>本标准的第 </w:t>
      </w:r>
      <w:r>
        <w:rPr>
          <w:rFonts w:ascii="Times New Roman" w:eastAsia="Times New Roman"/>
        </w:rPr>
        <w:t>1 </w:t>
      </w:r>
      <w:r>
        <w:rPr>
          <w:spacing w:val="-14"/>
        </w:rPr>
        <w:t>章至第 </w:t>
      </w:r>
      <w:r>
        <w:rPr>
          <w:rFonts w:ascii="Times New Roman" w:eastAsia="Times New Roman"/>
        </w:rPr>
        <w:t>3 </w:t>
      </w:r>
      <w:r>
        <w:rPr>
          <w:spacing w:val="-2"/>
        </w:rPr>
        <w:t>章阐述了适用于本标准的范围、规范性引用文件以及术语和定义，第 </w:t>
      </w:r>
      <w:r>
        <w:rPr>
          <w:rFonts w:ascii="Times New Roman" w:eastAsia="Times New Roman"/>
        </w:rPr>
        <w:t>4 </w:t>
      </w:r>
      <w:r>
        <w:rPr/>
        <w:t>章</w:t>
      </w:r>
      <w:r>
        <w:rPr>
          <w:spacing w:val="-20"/>
        </w:rPr>
        <w:t>至第 </w:t>
      </w:r>
      <w:r>
        <w:rPr>
          <w:rFonts w:ascii="Times New Roman" w:eastAsia="Times New Roman"/>
        </w:rPr>
        <w:t>10 </w:t>
      </w:r>
      <w:r>
        <w:rPr>
          <w:spacing w:val="-4"/>
        </w:rPr>
        <w:t>章包含了可用于评价与本标准符合性的要求。附录 </w:t>
      </w:r>
      <w:r>
        <w:rPr>
          <w:rFonts w:ascii="Calibri" w:eastAsia="Calibri"/>
        </w:rPr>
        <w:t>A </w:t>
      </w:r>
      <w:r>
        <w:rPr>
          <w:spacing w:val="-5"/>
        </w:rPr>
        <w:t>提供了这些要求的解释性信息。附录 </w:t>
      </w:r>
      <w:r>
        <w:rPr>
          <w:rFonts w:ascii="Calibri" w:eastAsia="Calibri"/>
        </w:rPr>
        <w:t>NA </w:t>
      </w:r>
      <w:r>
        <w:rPr>
          <w:spacing w:val="-8"/>
        </w:rPr>
        <w:t>给出了本标准与 </w:t>
      </w:r>
      <w:r>
        <w:rPr>
          <w:rFonts w:ascii="Calibri" w:eastAsia="Calibri"/>
        </w:rPr>
        <w:t>GB/T 28001-2011 </w:t>
      </w:r>
      <w:r>
        <w:rPr>
          <w:spacing w:val="-10"/>
        </w:rPr>
        <w:t>之间的对应情况。第 </w:t>
      </w:r>
      <w:r>
        <w:rPr>
          <w:rFonts w:ascii="Calibri" w:eastAsia="Calibri"/>
        </w:rPr>
        <w:t>3 </w:t>
      </w:r>
      <w:r>
        <w:rPr/>
        <w:t>章中的术语和定义按照概念的顺序进行编排。本标准索引（一）给出了按英文字母顺序排列的术语索引，索引（二）给出了按汉语拼音顺序排列的术语索引。</w:t>
      </w:r>
    </w:p>
    <w:p>
      <w:pPr>
        <w:pStyle w:val="BodyText"/>
        <w:spacing w:line="268" w:lineRule="exact" w:before="0"/>
        <w:ind w:left="698"/>
      </w:pPr>
      <w:r>
        <w:rPr/>
        <w:t>本标准使用以下助动词：</w:t>
      </w:r>
    </w:p>
    <w:p>
      <w:pPr>
        <w:pStyle w:val="BodyText"/>
        <w:ind w:left="698"/>
      </w:pPr>
      <w:r>
        <w:rPr>
          <w:spacing w:val="-22"/>
          <w:w w:val="99"/>
        </w:rPr>
        <w:t>——“应”</w:t>
      </w:r>
      <w:r>
        <w:rPr>
          <w:spacing w:val="-1"/>
          <w:w w:val="99"/>
        </w:rPr>
        <w:t>（</w:t>
      </w:r>
      <w:r>
        <w:rPr>
          <w:rFonts w:ascii="Times New Roman" w:hAnsi="Times New Roman" w:eastAsia="Times New Roman"/>
          <w:w w:val="99"/>
        </w:rPr>
        <w:t>s</w:t>
      </w:r>
      <w:r>
        <w:rPr>
          <w:rFonts w:ascii="Times New Roman" w:hAnsi="Times New Roman" w:eastAsia="Times New Roman"/>
          <w:spacing w:val="1"/>
          <w:w w:val="99"/>
        </w:rPr>
        <w:t>h</w:t>
      </w:r>
      <w:r>
        <w:rPr>
          <w:rFonts w:ascii="Times New Roman" w:hAnsi="Times New Roman" w:eastAsia="Times New Roman"/>
          <w:w w:val="99"/>
        </w:rPr>
        <w:t>a</w:t>
      </w:r>
      <w:r>
        <w:rPr>
          <w:rFonts w:ascii="Times New Roman" w:hAnsi="Times New Roman" w:eastAsia="Times New Roman"/>
          <w:spacing w:val="-1"/>
          <w:w w:val="99"/>
        </w:rPr>
        <w:t>ll</w:t>
      </w:r>
      <w:r>
        <w:rPr>
          <w:spacing w:val="2"/>
          <w:w w:val="99"/>
        </w:rPr>
        <w:t>）</w:t>
      </w:r>
      <w:r>
        <w:rPr>
          <w:spacing w:val="-1"/>
          <w:w w:val="99"/>
        </w:rPr>
        <w:t>表示要求；</w:t>
      </w:r>
    </w:p>
    <w:p>
      <w:pPr>
        <w:pStyle w:val="BodyText"/>
        <w:ind w:left="698"/>
      </w:pPr>
      <w:r>
        <w:rPr>
          <w:spacing w:val="-22"/>
          <w:w w:val="99"/>
        </w:rPr>
        <w:t>——“宜”</w:t>
      </w:r>
      <w:r>
        <w:rPr>
          <w:spacing w:val="-1"/>
          <w:w w:val="99"/>
        </w:rPr>
        <w:t>（</w:t>
      </w:r>
      <w:r>
        <w:rPr>
          <w:rFonts w:ascii="Times New Roman" w:hAnsi="Times New Roman" w:eastAsia="Times New Roman"/>
          <w:w w:val="99"/>
        </w:rPr>
        <w:t>s</w:t>
      </w:r>
      <w:r>
        <w:rPr>
          <w:rFonts w:ascii="Times New Roman" w:hAnsi="Times New Roman" w:eastAsia="Times New Roman"/>
          <w:spacing w:val="1"/>
          <w:w w:val="99"/>
        </w:rPr>
        <w:t>hou</w:t>
      </w:r>
      <w:r>
        <w:rPr>
          <w:rFonts w:ascii="Times New Roman" w:hAnsi="Times New Roman" w:eastAsia="Times New Roman"/>
          <w:spacing w:val="-1"/>
          <w:w w:val="99"/>
        </w:rPr>
        <w:t>l</w:t>
      </w:r>
      <w:r>
        <w:rPr>
          <w:rFonts w:ascii="Times New Roman" w:hAnsi="Times New Roman" w:eastAsia="Times New Roman"/>
          <w:spacing w:val="-2"/>
          <w:w w:val="99"/>
        </w:rPr>
        <w:t>d</w:t>
      </w:r>
      <w:r>
        <w:rPr>
          <w:spacing w:val="2"/>
          <w:w w:val="99"/>
        </w:rPr>
        <w:t>）</w:t>
      </w:r>
      <w:r>
        <w:rPr>
          <w:spacing w:val="-1"/>
          <w:w w:val="99"/>
        </w:rPr>
        <w:t>表示建议；</w:t>
      </w:r>
    </w:p>
    <w:p>
      <w:pPr>
        <w:pStyle w:val="BodyText"/>
        <w:ind w:left="698"/>
      </w:pPr>
      <w:r>
        <w:rPr>
          <w:spacing w:val="-19"/>
          <w:w w:val="99"/>
        </w:rPr>
        <w:t>——“可以”</w:t>
      </w:r>
      <w:r>
        <w:rPr>
          <w:spacing w:val="2"/>
          <w:w w:val="99"/>
        </w:rPr>
        <w:t>（</w:t>
      </w:r>
      <w:r>
        <w:rPr>
          <w:rFonts w:ascii="Times New Roman" w:hAnsi="Times New Roman" w:eastAsia="Times New Roman"/>
          <w:spacing w:val="-2"/>
          <w:w w:val="99"/>
        </w:rPr>
        <w:t>m</w:t>
      </w:r>
      <w:r>
        <w:rPr>
          <w:rFonts w:ascii="Times New Roman" w:hAnsi="Times New Roman" w:eastAsia="Times New Roman"/>
          <w:w w:val="99"/>
        </w:rPr>
        <w:t>a</w:t>
      </w:r>
      <w:r>
        <w:rPr>
          <w:rFonts w:ascii="Times New Roman" w:hAnsi="Times New Roman" w:eastAsia="Times New Roman"/>
          <w:spacing w:val="1"/>
          <w:w w:val="99"/>
        </w:rPr>
        <w:t>y</w:t>
      </w:r>
      <w:r>
        <w:rPr>
          <w:spacing w:val="-1"/>
          <w:w w:val="99"/>
        </w:rPr>
        <w:t>）表示允许；</w:t>
      </w:r>
    </w:p>
    <w:p>
      <w:pPr>
        <w:pStyle w:val="BodyText"/>
        <w:ind w:left="698"/>
      </w:pPr>
      <w:r>
        <w:rPr>
          <w:spacing w:val="-11"/>
          <w:w w:val="99"/>
        </w:rPr>
        <w:t>——“可、可能、能够”</w:t>
      </w:r>
      <w:r>
        <w:rPr>
          <w:spacing w:val="-1"/>
          <w:w w:val="99"/>
        </w:rPr>
        <w:t>（</w:t>
      </w:r>
      <w:r>
        <w:rPr>
          <w:rFonts w:ascii="Times New Roman" w:hAnsi="Times New Roman" w:eastAsia="Times New Roman"/>
          <w:w w:val="99"/>
        </w:rPr>
        <w:t>ca</w:t>
      </w:r>
      <w:r>
        <w:rPr>
          <w:rFonts w:ascii="Times New Roman" w:hAnsi="Times New Roman" w:eastAsia="Times New Roman"/>
          <w:spacing w:val="-2"/>
          <w:w w:val="99"/>
        </w:rPr>
        <w:t>n</w:t>
      </w:r>
      <w:r>
        <w:rPr>
          <w:spacing w:val="2"/>
          <w:w w:val="99"/>
        </w:rPr>
        <w:t>）</w:t>
      </w:r>
      <w:r>
        <w:rPr>
          <w:spacing w:val="-1"/>
          <w:w w:val="99"/>
        </w:rPr>
        <w:t>表示可能性或能力。</w:t>
      </w:r>
    </w:p>
    <w:p>
      <w:pPr>
        <w:pStyle w:val="BodyText"/>
        <w:spacing w:line="278" w:lineRule="auto"/>
        <w:ind w:left="278" w:right="442" w:firstLine="420"/>
      </w:pPr>
      <w:r>
        <w:rPr/>
        <w:t>标记“注”的信息是理解或澄清相关要求的指南。第 </w:t>
      </w:r>
      <w:r>
        <w:rPr>
          <w:rFonts w:ascii="Calibri" w:hAnsi="Calibri" w:eastAsia="Calibri"/>
        </w:rPr>
        <w:t>3 </w:t>
      </w:r>
      <w:r>
        <w:rPr/>
        <w:t>章中的“注”提供了增补术语资料的补充信息，可能包括使用术语的相关规定。</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1"/>
        <w:rPr>
          <w:sz w:val="15"/>
        </w:rPr>
      </w:pPr>
    </w:p>
    <w:p>
      <w:pPr>
        <w:pStyle w:val="BodyText"/>
        <w:spacing w:before="1"/>
        <w:ind w:left="2378" w:right="2091"/>
        <w:jc w:val="center"/>
        <w:rPr>
          <w:rFonts w:ascii="Times New Roman" w:eastAsia="Times New Roman"/>
        </w:rPr>
      </w:pPr>
      <w:r>
        <w:rPr>
          <w:color w:val="FF0000"/>
        </w:rPr>
        <w:t>中高级职称评审，联系人：张老师 </w:t>
      </w:r>
      <w:r>
        <w:rPr>
          <w:rFonts w:ascii="Times New Roman" w:eastAsia="Times New Roman"/>
          <w:color w:val="FF0000"/>
        </w:rPr>
        <w:t>15674292811</w:t>
      </w:r>
    </w:p>
    <w:p>
      <w:pPr>
        <w:spacing w:after="0"/>
        <w:jc w:val="center"/>
        <w:rPr>
          <w:rFonts w:ascii="Times New Roman" w:eastAsia="Times New Roman"/>
        </w:rPr>
        <w:sectPr>
          <w:pgSz w:w="11910" w:h="16840"/>
          <w:pgMar w:header="1442" w:footer="850" w:top="1660" w:bottom="1040" w:left="1140" w:right="74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7"/>
        </w:rPr>
      </w:pPr>
    </w:p>
    <w:p>
      <w:pPr>
        <w:pStyle w:val="Heading1"/>
      </w:pPr>
      <w:bookmarkStart w:name="职业健康安全管理体系 要求及使用指南" w:id="7"/>
      <w:bookmarkEnd w:id="7"/>
      <w:r>
        <w:rPr/>
      </w:r>
      <w:r>
        <w:rPr/>
        <w:t>职业健康安全管理体系 要求及使用指南</w:t>
      </w:r>
    </w:p>
    <w:p>
      <w:pPr>
        <w:pStyle w:val="BodyText"/>
        <w:spacing w:before="7"/>
        <w:rPr>
          <w:rFonts w:ascii="黑体"/>
          <w:sz w:val="45"/>
        </w:rPr>
      </w:pPr>
    </w:p>
    <w:p>
      <w:pPr>
        <w:pStyle w:val="ListParagraph"/>
        <w:numPr>
          <w:ilvl w:val="0"/>
          <w:numId w:val="11"/>
        </w:numPr>
        <w:tabs>
          <w:tab w:pos="592" w:val="left" w:leader="none"/>
          <w:tab w:pos="593" w:val="left" w:leader="none"/>
        </w:tabs>
        <w:spacing w:line="240" w:lineRule="auto" w:before="0" w:after="0"/>
        <w:ind w:left="592" w:right="0" w:hanging="315"/>
        <w:jc w:val="left"/>
        <w:rPr>
          <w:rFonts w:ascii="黑体" w:eastAsia="黑体" w:hint="eastAsia"/>
          <w:sz w:val="21"/>
        </w:rPr>
      </w:pPr>
      <w:bookmarkStart w:name="1　范围" w:id="8"/>
      <w:bookmarkEnd w:id="8"/>
      <w:r>
        <w:rPr/>
      </w:r>
      <w:bookmarkStart w:name="_bookmark3" w:id="9"/>
      <w:bookmarkEnd w:id="9"/>
      <w:r>
        <w:rPr>
          <w:rFonts w:ascii="黑体" w:eastAsia="黑体" w:hint="eastAsia"/>
          <w:sz w:val="21"/>
        </w:rPr>
        <w:t>范围</w:t>
      </w:r>
    </w:p>
    <w:p>
      <w:pPr>
        <w:pStyle w:val="BodyText"/>
        <w:spacing w:line="278" w:lineRule="auto"/>
        <w:ind w:left="278" w:right="506" w:firstLine="470"/>
        <w:jc w:val="right"/>
      </w:pPr>
      <w:r>
        <w:rPr>
          <w:spacing w:val="-2"/>
          <w:w w:val="95"/>
        </w:rPr>
        <w:t>本标准规定了职业健康安全</w:t>
      </w:r>
      <w:r>
        <w:rPr>
          <w:w w:val="95"/>
        </w:rPr>
        <w:t>（OH&amp;S）</w:t>
      </w:r>
      <w:r>
        <w:rPr>
          <w:spacing w:val="-3"/>
          <w:w w:val="95"/>
        </w:rPr>
        <w:t>管理体系的要求，并给出了其使用指南，以使组织能够通过   防止与工作相关的伤害和健康损害以及主动改进其职业健康安全绩效来提供安全和健康的工作场所。   本标准适用于任何具有以下愿望的组织：通过建立、实施和保持职业健康安全管理体系，以改进</w:t>
      </w:r>
    </w:p>
    <w:p>
      <w:pPr>
        <w:pStyle w:val="BodyText"/>
        <w:spacing w:line="278" w:lineRule="auto" w:before="0"/>
        <w:ind w:left="278" w:right="506"/>
      </w:pPr>
      <w:r>
        <w:rPr>
          <w:w w:val="95"/>
        </w:rPr>
        <w:t>健康安全、消除危险源并尽可能降低职业健康安全风险（包括体系缺陷）、利用职业健康安全机遇，   </w:t>
      </w:r>
      <w:r>
        <w:rPr/>
        <w:t>以及应对与其活动相关的职业健康安全管理体系不符合。</w:t>
      </w:r>
    </w:p>
    <w:p>
      <w:pPr>
        <w:pStyle w:val="BodyText"/>
        <w:spacing w:line="278" w:lineRule="auto" w:before="0"/>
        <w:ind w:left="278" w:right="506" w:firstLine="420"/>
      </w:pPr>
      <w:r>
        <w:rPr>
          <w:w w:val="95"/>
        </w:rPr>
        <w:t>本标准有助于组织实现其职业健康安全管理体系的预期结果。依照组织的职业健康安全方针，其   </w:t>
      </w:r>
      <w:r>
        <w:rPr/>
        <w:t>职业健康安全管理体系的预期结果包括：</w:t>
      </w:r>
    </w:p>
    <w:p>
      <w:pPr>
        <w:pStyle w:val="BodyText"/>
        <w:spacing w:line="278" w:lineRule="auto" w:before="0"/>
        <w:ind w:left="698" w:right="6072"/>
      </w:pPr>
      <w:r>
        <w:rPr/>
        <w:t>a）持续改进职业健康安全绩效； b）满足法律法规要求和其他要求； c）实现职业健康安全目标。</w:t>
      </w:r>
    </w:p>
    <w:p>
      <w:pPr>
        <w:pStyle w:val="BodyText"/>
        <w:spacing w:line="278" w:lineRule="auto" w:before="0"/>
        <w:ind w:left="278" w:right="506" w:firstLine="420"/>
      </w:pPr>
      <w:r>
        <w:rPr>
          <w:w w:val="95"/>
        </w:rPr>
        <w:t>本标准适用于任何规模、类型和活动的组织。它适用于组织控制下的职业健康安全风险，这些风   </w:t>
      </w:r>
      <w:r>
        <w:rPr/>
        <w:t>险必须考虑到诸如组织运行所处环境、组织工作人员和其他相关方的需求和期望等因素。</w:t>
      </w:r>
    </w:p>
    <w:p>
      <w:pPr>
        <w:pStyle w:val="BodyText"/>
        <w:spacing w:line="278" w:lineRule="auto" w:before="0"/>
        <w:ind w:left="698" w:right="506"/>
      </w:pPr>
      <w:r>
        <w:rPr/>
        <w:t>本标准既不规定具体的职业健康安全绩效准则，也不提供职业健康安全管理体系的设计规范。 </w:t>
      </w:r>
      <w:r>
        <w:rPr>
          <w:w w:val="95"/>
        </w:rPr>
        <w:t>本标准使组织能够借助其职业健康安全管理体系整合健康和安全的其他方面，如工作人员的福利</w:t>
      </w:r>
    </w:p>
    <w:p>
      <w:pPr>
        <w:pStyle w:val="BodyText"/>
        <w:spacing w:line="269" w:lineRule="exact" w:before="0"/>
        <w:ind w:left="278"/>
      </w:pPr>
      <w:r>
        <w:rPr/>
        <w:t>和（或）幸福等。</w:t>
      </w:r>
    </w:p>
    <w:p>
      <w:pPr>
        <w:pStyle w:val="BodyText"/>
        <w:spacing w:line="278" w:lineRule="auto" w:before="42"/>
        <w:ind w:left="278" w:right="508" w:firstLine="420"/>
      </w:pPr>
      <w:r>
        <w:rPr>
          <w:w w:val="95"/>
        </w:rPr>
        <w:t>本标准不涉及对工作人员和其他有关相关方的风险以外的议题，如产品安全、财产损失或环境影   </w:t>
      </w:r>
      <w:r>
        <w:rPr/>
        <w:t>响等。</w:t>
      </w:r>
    </w:p>
    <w:p>
      <w:pPr>
        <w:pStyle w:val="BodyText"/>
        <w:spacing w:line="278" w:lineRule="auto" w:before="0"/>
        <w:ind w:left="278" w:right="506" w:firstLine="420"/>
      </w:pPr>
      <w:r>
        <w:rPr>
          <w:w w:val="95"/>
        </w:rPr>
        <w:t>本标准能够全部或部分地用于系统改进职业健康安全管理。然而，只有当本标准的所有要求均被   </w:t>
      </w:r>
      <w:r>
        <w:rPr/>
        <w:t>包含在了组织的职业健康安全管理体系中并全部得到满足，有关符合本标准的声明才能被认可。</w:t>
      </w:r>
    </w:p>
    <w:p>
      <w:pPr>
        <w:pStyle w:val="ListParagraph"/>
        <w:numPr>
          <w:ilvl w:val="0"/>
          <w:numId w:val="11"/>
        </w:numPr>
        <w:tabs>
          <w:tab w:pos="592" w:val="left" w:leader="none"/>
          <w:tab w:pos="593" w:val="left" w:leader="none"/>
        </w:tabs>
        <w:spacing w:line="269" w:lineRule="exact" w:before="0" w:after="0"/>
        <w:ind w:left="592" w:right="0" w:hanging="315"/>
        <w:jc w:val="left"/>
        <w:rPr>
          <w:rFonts w:ascii="黑体" w:eastAsia="黑体" w:hint="eastAsia"/>
          <w:sz w:val="21"/>
        </w:rPr>
      </w:pPr>
      <w:bookmarkStart w:name="2　规范性引用文件" w:id="10"/>
      <w:bookmarkEnd w:id="10"/>
      <w:r>
        <w:rPr/>
      </w:r>
      <w:bookmarkStart w:name="_bookmark4" w:id="11"/>
      <w:bookmarkEnd w:id="11"/>
      <w:r>
        <w:rPr>
          <w:rFonts w:ascii="黑体" w:eastAsia="黑体" w:hint="eastAsia"/>
          <w:sz w:val="21"/>
        </w:rPr>
        <w:t>规范性引用文件</w:t>
      </w:r>
    </w:p>
    <w:p>
      <w:pPr>
        <w:pStyle w:val="BodyText"/>
        <w:spacing w:before="42"/>
        <w:ind w:left="698"/>
      </w:pPr>
      <w:r>
        <w:rPr/>
        <w:t>本标准无规范性引用文件。</w:t>
      </w:r>
    </w:p>
    <w:p>
      <w:pPr>
        <w:pStyle w:val="ListParagraph"/>
        <w:numPr>
          <w:ilvl w:val="0"/>
          <w:numId w:val="11"/>
        </w:numPr>
        <w:tabs>
          <w:tab w:pos="592" w:val="left" w:leader="none"/>
          <w:tab w:pos="593" w:val="left" w:leader="none"/>
        </w:tabs>
        <w:spacing w:line="240" w:lineRule="auto" w:before="43" w:after="0"/>
        <w:ind w:left="592" w:right="0" w:hanging="315"/>
        <w:jc w:val="left"/>
        <w:rPr>
          <w:rFonts w:ascii="黑体" w:eastAsia="黑体" w:hint="eastAsia"/>
          <w:sz w:val="21"/>
        </w:rPr>
      </w:pPr>
      <w:bookmarkStart w:name="3　术语和定义" w:id="12"/>
      <w:bookmarkEnd w:id="12"/>
      <w:r>
        <w:rPr/>
      </w:r>
      <w:bookmarkStart w:name="_bookmark5" w:id="13"/>
      <w:bookmarkEnd w:id="13"/>
      <w:r>
        <w:rPr>
          <w:rFonts w:ascii="黑体" w:eastAsia="黑体" w:hint="eastAsia"/>
          <w:sz w:val="21"/>
        </w:rPr>
        <w:t>术语和定义</w:t>
      </w:r>
    </w:p>
    <w:p>
      <w:pPr>
        <w:pStyle w:val="BodyText"/>
        <w:ind w:left="698"/>
      </w:pPr>
      <w:r>
        <w:rPr/>
        <w:t>下列术语和定义适用于本标准。</w:t>
      </w:r>
    </w:p>
    <w:p>
      <w:pPr>
        <w:pStyle w:val="ListParagraph"/>
        <w:numPr>
          <w:ilvl w:val="1"/>
          <w:numId w:val="11"/>
        </w:numPr>
        <w:tabs>
          <w:tab w:pos="596" w:val="left" w:leader="none"/>
        </w:tabs>
        <w:spacing w:line="240" w:lineRule="auto" w:before="43" w:after="0"/>
        <w:ind w:left="595" w:right="0" w:hanging="318"/>
        <w:jc w:val="left"/>
        <w:rPr>
          <w:rFonts w:ascii="黑体"/>
          <w:sz w:val="21"/>
        </w:rPr>
      </w:pPr>
    </w:p>
    <w:p>
      <w:pPr>
        <w:pStyle w:val="BodyText"/>
        <w:ind w:left="700"/>
        <w:rPr>
          <w:rFonts w:ascii="Arial" w:eastAsia="Arial"/>
        </w:rPr>
      </w:pPr>
      <w:bookmarkStart w:name="组织 organization" w:id="14"/>
      <w:bookmarkEnd w:id="14"/>
      <w:r>
        <w:rPr/>
      </w:r>
      <w:r>
        <w:rPr>
          <w:rFonts w:ascii="黑体" w:eastAsia="黑体" w:hint="eastAsia"/>
        </w:rPr>
        <w:t>组织 </w:t>
      </w:r>
      <w:r>
        <w:rPr>
          <w:rFonts w:ascii="Arial" w:eastAsia="Arial"/>
        </w:rPr>
        <w:t>organization</w:t>
      </w:r>
    </w:p>
    <w:p>
      <w:pPr>
        <w:pStyle w:val="BodyText"/>
        <w:ind w:left="698"/>
      </w:pPr>
      <w:r>
        <w:rPr/>
        <w:t>为实现</w:t>
      </w:r>
      <w:r>
        <w:rPr>
          <w:rFonts w:ascii="黑体" w:eastAsia="黑体" w:hint="eastAsia"/>
        </w:rPr>
        <w:t>目标</w:t>
      </w:r>
      <w:r>
        <w:rPr/>
        <w:t>（3.16），由职责、权限和相互关系构成自身功能的一个人或一组人。</w:t>
      </w:r>
    </w:p>
    <w:p>
      <w:pPr>
        <w:spacing w:line="324" w:lineRule="auto" w:before="61"/>
        <w:ind w:left="1128" w:right="506" w:hanging="428"/>
        <w:jc w:val="left"/>
        <w:rPr>
          <w:sz w:val="18"/>
        </w:rPr>
      </w:pPr>
      <w:r>
        <w:rPr>
          <w:sz w:val="18"/>
        </w:rPr>
        <w:t>注1：组织包括但不限于个体经营者、公司、集团、商行、企事业单位、行政管理机构、合伙制企业、慈善机构或社会机构，或者上述组织的某部分或其组合，无论是否为法人组织、公有或私有。</w:t>
      </w:r>
    </w:p>
    <w:p>
      <w:pPr>
        <w:spacing w:line="324" w:lineRule="auto" w:before="1"/>
        <w:ind w:left="1128" w:right="504" w:hanging="428"/>
        <w:jc w:val="left"/>
        <w:rPr>
          <w:sz w:val="18"/>
        </w:rPr>
      </w:pPr>
      <w:r>
        <w:rPr>
          <w:sz w:val="18"/>
        </w:rPr>
        <w:t>注2：该术语和定义是《“ISO/IEC导则 第1部分”的ISO补充合并本》附录SL所给出的ISO管理体系标准的通用术语和核心定义之一。</w:t>
      </w:r>
    </w:p>
    <w:p>
      <w:pPr>
        <w:pStyle w:val="ListParagraph"/>
        <w:numPr>
          <w:ilvl w:val="1"/>
          <w:numId w:val="11"/>
        </w:numPr>
        <w:tabs>
          <w:tab w:pos="596" w:val="left" w:leader="none"/>
        </w:tabs>
        <w:spacing w:line="252" w:lineRule="exact" w:before="0" w:after="0"/>
        <w:ind w:left="595" w:right="0" w:hanging="318"/>
        <w:jc w:val="left"/>
        <w:rPr>
          <w:rFonts w:ascii="黑体"/>
          <w:sz w:val="21"/>
        </w:rPr>
      </w:pPr>
    </w:p>
    <w:p>
      <w:pPr>
        <w:pStyle w:val="BodyText"/>
        <w:ind w:left="700"/>
      </w:pPr>
      <w:bookmarkStart w:name="相关方 interested party（首选术语）" w:id="15"/>
      <w:bookmarkEnd w:id="15"/>
      <w:r>
        <w:rPr/>
      </w:r>
      <w:r>
        <w:rPr>
          <w:rFonts w:ascii="黑体" w:eastAsia="黑体" w:hint="eastAsia"/>
          <w:spacing w:val="-2"/>
        </w:rPr>
        <w:t>相关方 </w:t>
      </w:r>
      <w:r>
        <w:rPr>
          <w:rFonts w:ascii="Arial" w:eastAsia="Arial"/>
        </w:rPr>
        <w:t>interested</w:t>
      </w:r>
      <w:r>
        <w:rPr>
          <w:rFonts w:ascii="Arial" w:eastAsia="Arial"/>
          <w:spacing w:val="-5"/>
        </w:rPr>
        <w:t> </w:t>
      </w:r>
      <w:r>
        <w:rPr>
          <w:rFonts w:ascii="Arial" w:eastAsia="Arial"/>
        </w:rPr>
        <w:t>party</w:t>
      </w:r>
      <w:r>
        <w:rPr/>
        <w:t>（首选术语）</w:t>
      </w:r>
    </w:p>
    <w:p>
      <w:pPr>
        <w:pStyle w:val="BodyText"/>
        <w:ind w:left="700"/>
      </w:pPr>
      <w:bookmarkStart w:name="利益相关方stakeholder（许用术语）" w:id="16"/>
      <w:bookmarkEnd w:id="16"/>
      <w:r>
        <w:rPr/>
      </w:r>
      <w:r>
        <w:rPr>
          <w:rFonts w:ascii="黑体" w:eastAsia="黑体" w:hint="eastAsia"/>
          <w:spacing w:val="-11"/>
        </w:rPr>
        <w:t>利益相关方 </w:t>
      </w:r>
      <w:r>
        <w:rPr>
          <w:rFonts w:ascii="Arial" w:eastAsia="Arial"/>
        </w:rPr>
        <w:t>stakeholder</w:t>
      </w:r>
      <w:r>
        <w:rPr/>
        <w:t>（许用术语）</w:t>
      </w:r>
    </w:p>
    <w:p>
      <w:pPr>
        <w:pStyle w:val="BodyText"/>
        <w:ind w:left="698"/>
      </w:pPr>
      <w:r>
        <w:rPr/>
        <w:t>可影响决策或活动、受决策或活动所影响，或者自认为受决策或活动影响的个人或</w:t>
      </w:r>
      <w:r>
        <w:rPr>
          <w:rFonts w:ascii="黑体" w:eastAsia="黑体" w:hint="eastAsia"/>
        </w:rPr>
        <w:t>组织</w:t>
      </w:r>
      <w:r>
        <w:rPr/>
        <w:t>（3.1）。</w:t>
      </w:r>
    </w:p>
    <w:p>
      <w:pPr>
        <w:spacing w:line="324" w:lineRule="auto" w:before="61"/>
        <w:ind w:left="1128" w:right="504" w:hanging="428"/>
        <w:jc w:val="left"/>
        <w:rPr>
          <w:sz w:val="18"/>
        </w:rPr>
      </w:pPr>
      <w:r>
        <w:rPr>
          <w:sz w:val="18"/>
        </w:rPr>
        <w:t>注： 该术语和定义是《“ISO/IEC导则 第1部分”的ISO补充合并本》附录SL所给出的ISO管理体系标准的通用术语和核心定义之一。</w:t>
      </w:r>
    </w:p>
    <w:p>
      <w:pPr>
        <w:pStyle w:val="ListParagraph"/>
        <w:numPr>
          <w:ilvl w:val="1"/>
          <w:numId w:val="11"/>
        </w:numPr>
        <w:tabs>
          <w:tab w:pos="596" w:val="left" w:leader="none"/>
        </w:tabs>
        <w:spacing w:line="252" w:lineRule="exact" w:before="0" w:after="0"/>
        <w:ind w:left="595" w:right="0" w:hanging="318"/>
        <w:jc w:val="left"/>
        <w:rPr>
          <w:rFonts w:ascii="黑体"/>
          <w:sz w:val="21"/>
        </w:rPr>
      </w:pPr>
    </w:p>
    <w:p>
      <w:pPr>
        <w:pStyle w:val="BodyText"/>
        <w:ind w:left="700"/>
        <w:rPr>
          <w:rFonts w:ascii="Arial" w:eastAsia="Arial"/>
        </w:rPr>
      </w:pPr>
      <w:bookmarkStart w:name="工作人员 worker" w:id="17"/>
      <w:bookmarkEnd w:id="17"/>
      <w:r>
        <w:rPr/>
      </w:r>
      <w:r>
        <w:rPr>
          <w:rFonts w:ascii="黑体" w:eastAsia="黑体" w:hint="eastAsia"/>
        </w:rPr>
        <w:t>工作人员 </w:t>
      </w:r>
      <w:r>
        <w:rPr>
          <w:rFonts w:ascii="Arial" w:eastAsia="Arial"/>
        </w:rPr>
        <w:t>worker</w:t>
      </w:r>
    </w:p>
    <w:p>
      <w:pPr>
        <w:spacing w:after="0"/>
        <w:rPr>
          <w:rFonts w:ascii="Arial" w:eastAsia="Arial"/>
        </w:rPr>
        <w:sectPr>
          <w:footerReference w:type="default" r:id="rId15"/>
          <w:footerReference w:type="even" r:id="rId16"/>
          <w:pgSz w:w="11910" w:h="16840"/>
          <w:pgMar w:footer="850" w:header="1442" w:top="1660" w:bottom="1040" w:left="1140" w:right="740"/>
          <w:pgNumType w:start="1"/>
        </w:sectPr>
      </w:pPr>
    </w:p>
    <w:p>
      <w:pPr>
        <w:pStyle w:val="BodyText"/>
        <w:spacing w:before="157"/>
        <w:ind w:left="698"/>
      </w:pPr>
      <w:r>
        <w:rPr/>
        <w:t>在</w:t>
      </w:r>
      <w:r>
        <w:rPr>
          <w:rFonts w:ascii="黑体" w:eastAsia="黑体" w:hint="eastAsia"/>
        </w:rPr>
        <w:t>组织</w:t>
      </w:r>
      <w:r>
        <w:rPr/>
        <w:t>（3.1）控制下开展工作或与工作相关的活动的人员。</w:t>
      </w:r>
    </w:p>
    <w:p>
      <w:pPr>
        <w:spacing w:line="324" w:lineRule="auto" w:before="64"/>
        <w:ind w:left="1128" w:right="506" w:hanging="428"/>
        <w:jc w:val="left"/>
        <w:rPr>
          <w:sz w:val="18"/>
        </w:rPr>
      </w:pPr>
      <w:r>
        <w:rPr>
          <w:sz w:val="18"/>
        </w:rPr>
        <w:t>注1：在不同安排下，人员有偿或无偿地开展工作或与工作相关的活动，如定期的或临时的、间歇性的或季节性的、偶然的或兼职的等。</w:t>
      </w:r>
    </w:p>
    <w:p>
      <w:pPr>
        <w:spacing w:before="1"/>
        <w:ind w:left="700" w:right="0" w:firstLine="0"/>
        <w:jc w:val="left"/>
        <w:rPr>
          <w:sz w:val="18"/>
        </w:rPr>
      </w:pPr>
      <w:r>
        <w:rPr>
          <w:sz w:val="18"/>
        </w:rPr>
        <w:t>注2：工作人员包括</w:t>
      </w:r>
      <w:r>
        <w:rPr>
          <w:rFonts w:ascii="黑体" w:eastAsia="黑体" w:hint="eastAsia"/>
          <w:sz w:val="18"/>
        </w:rPr>
        <w:t>最高管理者</w:t>
      </w:r>
      <w:r>
        <w:rPr>
          <w:sz w:val="18"/>
        </w:rPr>
        <w:t>（3.12）、管理类人员和非管理类人员。</w:t>
      </w:r>
    </w:p>
    <w:p>
      <w:pPr>
        <w:spacing w:line="324" w:lineRule="auto" w:before="81"/>
        <w:ind w:left="1128" w:right="506" w:hanging="428"/>
        <w:jc w:val="both"/>
        <w:rPr>
          <w:sz w:val="18"/>
        </w:rPr>
      </w:pPr>
      <w:r>
        <w:rPr>
          <w:sz w:val="18"/>
        </w:rPr>
        <w:t>注3：根据组织所处的环境，在组织控制下所开展的工作或与工作相关的活动可由组织雇佣的工作人员、外部供</w:t>
      </w:r>
      <w:r>
        <w:rPr>
          <w:spacing w:val="-8"/>
          <w:sz w:val="18"/>
        </w:rPr>
        <w:t>方的工作人员、承包方、个人、外部派遣工作人员，以及其工作或与工作相关的活动在一定程度上受组织共</w:t>
      </w:r>
      <w:r>
        <w:rPr>
          <w:sz w:val="18"/>
        </w:rPr>
        <w:t>同控制的其他人员来完成。</w:t>
      </w:r>
    </w:p>
    <w:p>
      <w:pPr>
        <w:pStyle w:val="ListParagraph"/>
        <w:numPr>
          <w:ilvl w:val="1"/>
          <w:numId w:val="11"/>
        </w:numPr>
        <w:tabs>
          <w:tab w:pos="596" w:val="left" w:leader="none"/>
        </w:tabs>
        <w:spacing w:line="251" w:lineRule="exact" w:before="0" w:after="0"/>
        <w:ind w:left="595" w:right="0" w:hanging="318"/>
        <w:jc w:val="left"/>
        <w:rPr>
          <w:rFonts w:ascii="黑体"/>
          <w:sz w:val="21"/>
        </w:rPr>
      </w:pPr>
    </w:p>
    <w:p>
      <w:pPr>
        <w:pStyle w:val="BodyText"/>
        <w:ind w:left="700"/>
        <w:rPr>
          <w:rFonts w:ascii="Arial" w:eastAsia="Arial"/>
        </w:rPr>
      </w:pPr>
      <w:bookmarkStart w:name="参与 participation" w:id="18"/>
      <w:bookmarkEnd w:id="18"/>
      <w:r>
        <w:rPr/>
      </w:r>
      <w:r>
        <w:rPr>
          <w:rFonts w:ascii="黑体" w:eastAsia="黑体" w:hint="eastAsia"/>
        </w:rPr>
        <w:t>参与 </w:t>
      </w:r>
      <w:r>
        <w:rPr>
          <w:rFonts w:ascii="Arial" w:eastAsia="Arial"/>
        </w:rPr>
        <w:t>participation</w:t>
      </w:r>
    </w:p>
    <w:p>
      <w:pPr>
        <w:pStyle w:val="BodyText"/>
        <w:ind w:left="698"/>
      </w:pPr>
      <w:r>
        <w:rPr/>
        <w:t>参加决策。</w:t>
      </w:r>
    </w:p>
    <w:p>
      <w:pPr>
        <w:spacing w:before="64"/>
        <w:ind w:left="700" w:right="0" w:firstLine="0"/>
        <w:jc w:val="left"/>
        <w:rPr>
          <w:sz w:val="18"/>
        </w:rPr>
      </w:pPr>
      <w:r>
        <w:rPr>
          <w:sz w:val="18"/>
        </w:rPr>
        <w:t>注：参与包括使健康安全委员会和工作人员代表（若有）加入。</w:t>
      </w:r>
    </w:p>
    <w:p>
      <w:pPr>
        <w:pStyle w:val="ListParagraph"/>
        <w:numPr>
          <w:ilvl w:val="1"/>
          <w:numId w:val="11"/>
        </w:numPr>
        <w:tabs>
          <w:tab w:pos="596" w:val="left" w:leader="none"/>
        </w:tabs>
        <w:spacing w:line="240" w:lineRule="auto" w:before="61" w:after="0"/>
        <w:ind w:left="595" w:right="0" w:hanging="318"/>
        <w:jc w:val="left"/>
        <w:rPr>
          <w:rFonts w:ascii="黑体"/>
          <w:sz w:val="21"/>
        </w:rPr>
      </w:pPr>
    </w:p>
    <w:p>
      <w:pPr>
        <w:pStyle w:val="BodyText"/>
        <w:spacing w:before="42"/>
        <w:ind w:left="700"/>
        <w:rPr>
          <w:rFonts w:ascii="Arial" w:eastAsia="Arial"/>
        </w:rPr>
      </w:pPr>
      <w:bookmarkStart w:name="协商 consultation" w:id="19"/>
      <w:bookmarkEnd w:id="19"/>
      <w:r>
        <w:rPr/>
      </w:r>
      <w:r>
        <w:rPr>
          <w:rFonts w:ascii="黑体" w:eastAsia="黑体" w:hint="eastAsia"/>
          <w:spacing w:val="-4"/>
        </w:rPr>
        <w:t>协商 </w:t>
      </w:r>
      <w:r>
        <w:rPr>
          <w:rFonts w:ascii="Arial" w:eastAsia="Arial"/>
        </w:rPr>
        <w:t>consultation</w:t>
      </w:r>
    </w:p>
    <w:p>
      <w:pPr>
        <w:pStyle w:val="BodyText"/>
        <w:ind w:left="698"/>
      </w:pPr>
      <w:r>
        <w:rPr>
          <w:w w:val="95"/>
        </w:rPr>
        <w:t>决策前征询意见。</w:t>
      </w:r>
    </w:p>
    <w:p>
      <w:pPr>
        <w:spacing w:before="64"/>
        <w:ind w:left="700" w:right="0" w:firstLine="0"/>
        <w:jc w:val="left"/>
        <w:rPr>
          <w:sz w:val="18"/>
        </w:rPr>
      </w:pPr>
      <w:r>
        <w:rPr>
          <w:sz w:val="18"/>
        </w:rPr>
        <w:t>注：协商包括使健康安全委员会和工作人员代表（若有）加入。</w:t>
      </w:r>
    </w:p>
    <w:p>
      <w:pPr>
        <w:pStyle w:val="ListParagraph"/>
        <w:numPr>
          <w:ilvl w:val="1"/>
          <w:numId w:val="11"/>
        </w:numPr>
        <w:tabs>
          <w:tab w:pos="596" w:val="left" w:leader="none"/>
        </w:tabs>
        <w:spacing w:line="240" w:lineRule="auto" w:before="61" w:after="0"/>
        <w:ind w:left="595" w:right="0" w:hanging="318"/>
        <w:jc w:val="left"/>
        <w:rPr>
          <w:rFonts w:ascii="黑体"/>
          <w:sz w:val="21"/>
        </w:rPr>
      </w:pPr>
    </w:p>
    <w:p>
      <w:pPr>
        <w:pStyle w:val="BodyText"/>
        <w:ind w:left="700"/>
        <w:rPr>
          <w:rFonts w:ascii="Arial" w:eastAsia="Arial"/>
        </w:rPr>
      </w:pPr>
      <w:bookmarkStart w:name="工作场所 workplace" w:id="20"/>
      <w:bookmarkEnd w:id="20"/>
      <w:r>
        <w:rPr/>
      </w:r>
      <w:r>
        <w:rPr>
          <w:rFonts w:ascii="黑体" w:eastAsia="黑体" w:hint="eastAsia"/>
        </w:rPr>
        <w:t>工作场所 </w:t>
      </w:r>
      <w:r>
        <w:rPr>
          <w:rFonts w:ascii="Arial" w:eastAsia="Arial"/>
        </w:rPr>
        <w:t>workplace</w:t>
      </w:r>
    </w:p>
    <w:p>
      <w:pPr>
        <w:pStyle w:val="BodyText"/>
        <w:ind w:left="698"/>
      </w:pPr>
      <w:r>
        <w:rPr/>
        <w:t>在</w:t>
      </w:r>
      <w:r>
        <w:rPr>
          <w:rFonts w:ascii="黑体" w:eastAsia="黑体" w:hint="eastAsia"/>
        </w:rPr>
        <w:t>组织</w:t>
      </w:r>
      <w:r>
        <w:rPr/>
        <w:t>（3.1）控制下，人员因工作需要而处于或前往的场所。</w:t>
      </w:r>
    </w:p>
    <w:p>
      <w:pPr>
        <w:spacing w:before="63"/>
        <w:ind w:left="700" w:right="0" w:firstLine="0"/>
        <w:jc w:val="left"/>
        <w:rPr>
          <w:sz w:val="18"/>
        </w:rPr>
      </w:pPr>
      <w:r>
        <w:rPr>
          <w:sz w:val="18"/>
        </w:rPr>
        <w:t>注：在职业健康安全管理体系（3.11）中，组织对工作场所的责任取决于其对工作场所的控制程度。</w:t>
      </w:r>
    </w:p>
    <w:p>
      <w:pPr>
        <w:pStyle w:val="ListParagraph"/>
        <w:numPr>
          <w:ilvl w:val="1"/>
          <w:numId w:val="11"/>
        </w:numPr>
        <w:tabs>
          <w:tab w:pos="596" w:val="left" w:leader="none"/>
        </w:tabs>
        <w:spacing w:line="240" w:lineRule="auto" w:before="61" w:after="0"/>
        <w:ind w:left="595" w:right="0" w:hanging="318"/>
        <w:jc w:val="left"/>
        <w:rPr>
          <w:rFonts w:ascii="黑体"/>
          <w:sz w:val="21"/>
        </w:rPr>
      </w:pPr>
    </w:p>
    <w:p>
      <w:pPr>
        <w:pStyle w:val="BodyText"/>
        <w:ind w:left="700"/>
        <w:rPr>
          <w:rFonts w:ascii="Arial" w:eastAsia="Arial"/>
        </w:rPr>
      </w:pPr>
      <w:bookmarkStart w:name="承包方 contractor" w:id="21"/>
      <w:bookmarkEnd w:id="21"/>
      <w:r>
        <w:rPr/>
      </w:r>
      <w:r>
        <w:rPr>
          <w:rFonts w:ascii="黑体" w:eastAsia="黑体" w:hint="eastAsia"/>
        </w:rPr>
        <w:t>承包方 </w:t>
      </w:r>
      <w:r>
        <w:rPr>
          <w:rFonts w:ascii="Arial" w:eastAsia="Arial"/>
        </w:rPr>
        <w:t>contractor</w:t>
      </w:r>
    </w:p>
    <w:p>
      <w:pPr>
        <w:pStyle w:val="BodyText"/>
        <w:ind w:left="698"/>
      </w:pPr>
      <w:r>
        <w:rPr/>
        <w:t>按照约定的规范、条款和条件向</w:t>
      </w:r>
      <w:r>
        <w:rPr>
          <w:rFonts w:ascii="黑体" w:eastAsia="黑体" w:hint="eastAsia"/>
        </w:rPr>
        <w:t>组织</w:t>
      </w:r>
      <w:r>
        <w:rPr/>
        <w:t>（3.1）提供服务的外部组织。</w:t>
      </w:r>
    </w:p>
    <w:p>
      <w:pPr>
        <w:spacing w:before="63"/>
        <w:ind w:left="700" w:right="0" w:firstLine="0"/>
        <w:jc w:val="left"/>
        <w:rPr>
          <w:sz w:val="18"/>
        </w:rPr>
      </w:pPr>
      <w:r>
        <w:rPr>
          <w:sz w:val="18"/>
        </w:rPr>
        <w:t>注：服务可包括建筑活动等。</w:t>
      </w:r>
    </w:p>
    <w:p>
      <w:pPr>
        <w:pStyle w:val="ListParagraph"/>
        <w:numPr>
          <w:ilvl w:val="1"/>
          <w:numId w:val="11"/>
        </w:numPr>
        <w:tabs>
          <w:tab w:pos="596" w:val="left" w:leader="none"/>
        </w:tabs>
        <w:spacing w:line="240" w:lineRule="auto" w:before="61" w:after="0"/>
        <w:ind w:left="595" w:right="0" w:hanging="318"/>
        <w:jc w:val="left"/>
        <w:rPr>
          <w:rFonts w:ascii="黑体"/>
          <w:sz w:val="21"/>
        </w:rPr>
      </w:pPr>
    </w:p>
    <w:p>
      <w:pPr>
        <w:pStyle w:val="BodyText"/>
        <w:ind w:left="700"/>
        <w:rPr>
          <w:rFonts w:ascii="Arial" w:eastAsia="Arial"/>
        </w:rPr>
      </w:pPr>
      <w:bookmarkStart w:name="要求 requirement" w:id="22"/>
      <w:bookmarkEnd w:id="22"/>
      <w:r>
        <w:rPr/>
      </w:r>
      <w:r>
        <w:rPr>
          <w:rFonts w:ascii="黑体" w:eastAsia="黑体" w:hint="eastAsia"/>
        </w:rPr>
        <w:t>要求 </w:t>
      </w:r>
      <w:r>
        <w:rPr>
          <w:rFonts w:ascii="Arial" w:eastAsia="Arial"/>
        </w:rPr>
        <w:t>requirement</w:t>
      </w:r>
    </w:p>
    <w:p>
      <w:pPr>
        <w:pStyle w:val="BodyText"/>
        <w:ind w:left="698"/>
      </w:pPr>
      <w:r>
        <w:rPr/>
        <w:t>明示的、通常隐含的或必须满足的需求或期望。</w:t>
      </w:r>
    </w:p>
    <w:p>
      <w:pPr>
        <w:spacing w:line="324" w:lineRule="auto" w:before="63"/>
        <w:ind w:left="1128" w:right="504" w:hanging="428"/>
        <w:jc w:val="left"/>
        <w:rPr>
          <w:sz w:val="18"/>
        </w:rPr>
      </w:pPr>
      <w:r>
        <w:rPr>
          <w:sz w:val="18"/>
        </w:rPr>
        <w:t>注1：“通常隐含的”是指，对</w:t>
      </w:r>
      <w:r>
        <w:rPr>
          <w:rFonts w:ascii="黑体" w:hAnsi="黑体" w:eastAsia="黑体" w:hint="eastAsia"/>
          <w:sz w:val="18"/>
        </w:rPr>
        <w:t>组织</w:t>
      </w:r>
      <w:r>
        <w:rPr>
          <w:sz w:val="18"/>
        </w:rPr>
        <w:t>（3.1）和</w:t>
      </w:r>
      <w:r>
        <w:rPr>
          <w:rFonts w:ascii="黑体" w:hAnsi="黑体" w:eastAsia="黑体" w:hint="eastAsia"/>
          <w:sz w:val="18"/>
        </w:rPr>
        <w:t>相关方</w:t>
      </w:r>
      <w:r>
        <w:rPr>
          <w:sz w:val="18"/>
        </w:rPr>
        <w:t>（3.2）而言，按惯例或常见做法，对这些需求或期望加以考虑是不言而喻的。</w:t>
      </w:r>
    </w:p>
    <w:p>
      <w:pPr>
        <w:spacing w:before="2"/>
        <w:ind w:left="700" w:right="0" w:firstLine="0"/>
        <w:jc w:val="left"/>
        <w:rPr>
          <w:sz w:val="18"/>
        </w:rPr>
      </w:pPr>
      <w:r>
        <w:rPr>
          <w:sz w:val="18"/>
        </w:rPr>
        <w:t>注2：规定的要求是指经明示的要求，如</w:t>
      </w:r>
      <w:r>
        <w:rPr>
          <w:rFonts w:ascii="黑体" w:eastAsia="黑体" w:hint="eastAsia"/>
          <w:sz w:val="18"/>
        </w:rPr>
        <w:t>文件化信息</w:t>
      </w:r>
      <w:r>
        <w:rPr>
          <w:sz w:val="18"/>
        </w:rPr>
        <w:t>（3.24）中所阐明的要求。</w:t>
      </w:r>
    </w:p>
    <w:p>
      <w:pPr>
        <w:spacing w:line="324" w:lineRule="auto" w:before="81"/>
        <w:ind w:left="1128" w:right="504" w:hanging="428"/>
        <w:jc w:val="left"/>
        <w:rPr>
          <w:sz w:val="18"/>
        </w:rPr>
      </w:pPr>
      <w:r>
        <w:rPr>
          <w:sz w:val="18"/>
        </w:rPr>
        <w:t>注3：该术语和定义是《“ISO/IEC导则 第1部分”的ISO补充合并本》附录SL所给出的ISO管理体系标准的通用术语和核心定义之一。</w:t>
      </w:r>
    </w:p>
    <w:p>
      <w:pPr>
        <w:pStyle w:val="ListParagraph"/>
        <w:numPr>
          <w:ilvl w:val="1"/>
          <w:numId w:val="11"/>
        </w:numPr>
        <w:tabs>
          <w:tab w:pos="596" w:val="left" w:leader="none"/>
        </w:tabs>
        <w:spacing w:line="250" w:lineRule="exact" w:before="0" w:after="0"/>
        <w:ind w:left="595" w:right="0" w:hanging="318"/>
        <w:jc w:val="left"/>
        <w:rPr>
          <w:rFonts w:ascii="黑体"/>
          <w:sz w:val="21"/>
        </w:rPr>
      </w:pPr>
    </w:p>
    <w:p>
      <w:pPr>
        <w:pStyle w:val="BodyText"/>
        <w:ind w:left="700"/>
        <w:rPr>
          <w:rFonts w:ascii="Arial" w:eastAsia="Arial"/>
        </w:rPr>
      </w:pPr>
      <w:bookmarkStart w:name="法律法规要求和其他要求 legal requirements and other" w:id="23"/>
      <w:bookmarkEnd w:id="23"/>
      <w:r>
        <w:rPr/>
      </w:r>
      <w:r>
        <w:rPr>
          <w:rFonts w:ascii="黑体" w:eastAsia="黑体" w:hint="eastAsia"/>
        </w:rPr>
        <w:t>法律法规要求和其他要求 </w:t>
      </w:r>
      <w:r>
        <w:rPr>
          <w:rFonts w:ascii="Arial" w:eastAsia="Arial"/>
        </w:rPr>
        <w:t>legal requirements and other requirements</w:t>
      </w:r>
    </w:p>
    <w:p>
      <w:pPr>
        <w:pStyle w:val="BodyText"/>
        <w:ind w:left="698"/>
      </w:pPr>
      <w:r>
        <w:rPr>
          <w:rFonts w:ascii="黑体" w:eastAsia="黑体" w:hint="eastAsia"/>
        </w:rPr>
        <w:t>组织</w:t>
      </w:r>
      <w:r>
        <w:rPr/>
        <w:t>（3.1）必须遵守的法律法规要求，以及组织必须遵守或选择遵守的其他</w:t>
      </w:r>
      <w:r>
        <w:rPr>
          <w:rFonts w:ascii="黑体" w:eastAsia="黑体" w:hint="eastAsia"/>
        </w:rPr>
        <w:t>要求</w:t>
      </w:r>
      <w:r>
        <w:rPr/>
        <w:t>（3.8）。</w:t>
      </w:r>
    </w:p>
    <w:p>
      <w:pPr>
        <w:spacing w:line="324" w:lineRule="auto" w:before="63"/>
        <w:ind w:left="700" w:right="1675" w:firstLine="0"/>
        <w:jc w:val="left"/>
        <w:rPr>
          <w:sz w:val="18"/>
        </w:rPr>
      </w:pPr>
      <w:r>
        <w:rPr>
          <w:sz w:val="18"/>
        </w:rPr>
        <w:t>注1：对本标准而言，法律法规要求和其他要求是与</w:t>
      </w:r>
      <w:r>
        <w:rPr>
          <w:rFonts w:ascii="黑体" w:hAnsi="黑体" w:eastAsia="黑体" w:hint="eastAsia"/>
          <w:sz w:val="18"/>
        </w:rPr>
        <w:t>职业健康安全管理体系</w:t>
      </w:r>
      <w:r>
        <w:rPr>
          <w:sz w:val="18"/>
        </w:rPr>
        <w:t>（3.11）相关的要求。注2：“法律法规要求和其他要求”包括集体协议的规定。</w:t>
      </w:r>
    </w:p>
    <w:p>
      <w:pPr>
        <w:spacing w:before="1"/>
        <w:ind w:left="700" w:right="0" w:firstLine="0"/>
        <w:jc w:val="left"/>
        <w:rPr>
          <w:sz w:val="18"/>
        </w:rPr>
      </w:pPr>
      <w:r>
        <w:rPr>
          <w:sz w:val="18"/>
        </w:rPr>
        <w:t>注3：法律法规要求和其他要求包括依法律、法规、集体协议和惯例而确定的</w:t>
      </w:r>
      <w:r>
        <w:rPr>
          <w:rFonts w:ascii="黑体" w:eastAsia="黑体" w:hint="eastAsia"/>
          <w:sz w:val="18"/>
        </w:rPr>
        <w:t>工作人员</w:t>
      </w:r>
      <w:r>
        <w:rPr>
          <w:sz w:val="18"/>
        </w:rPr>
        <w:t>（3.3）代表的要求。</w:t>
      </w:r>
    </w:p>
    <w:p>
      <w:pPr>
        <w:pStyle w:val="ListParagraph"/>
        <w:numPr>
          <w:ilvl w:val="1"/>
          <w:numId w:val="11"/>
        </w:numPr>
        <w:tabs>
          <w:tab w:pos="701" w:val="left" w:leader="none"/>
        </w:tabs>
        <w:spacing w:line="240" w:lineRule="auto" w:before="61" w:after="0"/>
        <w:ind w:left="700" w:right="0" w:hanging="423"/>
        <w:jc w:val="left"/>
        <w:rPr>
          <w:rFonts w:ascii="黑体"/>
          <w:sz w:val="21"/>
        </w:rPr>
      </w:pPr>
    </w:p>
    <w:p>
      <w:pPr>
        <w:pStyle w:val="BodyText"/>
        <w:ind w:left="700"/>
        <w:rPr>
          <w:rFonts w:ascii="Arial" w:eastAsia="Arial"/>
        </w:rPr>
      </w:pPr>
      <w:bookmarkStart w:name="管理体系 management system" w:id="24"/>
      <w:bookmarkEnd w:id="24"/>
      <w:r>
        <w:rPr/>
      </w:r>
      <w:r>
        <w:rPr>
          <w:rFonts w:ascii="黑体" w:eastAsia="黑体" w:hint="eastAsia"/>
        </w:rPr>
        <w:t>管理体系 </w:t>
      </w:r>
      <w:r>
        <w:rPr>
          <w:rFonts w:ascii="Arial" w:eastAsia="Arial"/>
        </w:rPr>
        <w:t>management system</w:t>
      </w:r>
    </w:p>
    <w:p>
      <w:pPr>
        <w:pStyle w:val="BodyText"/>
        <w:spacing w:line="278" w:lineRule="auto"/>
        <w:ind w:left="278" w:right="506" w:firstLine="420"/>
      </w:pPr>
      <w:r>
        <w:rPr>
          <w:rFonts w:ascii="黑体" w:eastAsia="黑体" w:hint="eastAsia"/>
          <w:spacing w:val="-7"/>
          <w:w w:val="95"/>
        </w:rPr>
        <w:t>组织</w:t>
      </w:r>
      <w:r>
        <w:rPr>
          <w:spacing w:val="-3"/>
          <w:w w:val="95"/>
        </w:rPr>
        <w:t>（3.1）</w:t>
      </w:r>
      <w:r>
        <w:rPr>
          <w:w w:val="95"/>
        </w:rPr>
        <w:t>用于建立</w:t>
      </w:r>
      <w:r>
        <w:rPr>
          <w:rFonts w:ascii="黑体" w:eastAsia="黑体" w:hint="eastAsia"/>
          <w:spacing w:val="-5"/>
          <w:w w:val="95"/>
        </w:rPr>
        <w:t>方针</w:t>
      </w:r>
      <w:r>
        <w:rPr>
          <w:spacing w:val="-3"/>
          <w:w w:val="95"/>
        </w:rPr>
        <w:t>（3.14）</w:t>
      </w:r>
      <w:r>
        <w:rPr>
          <w:w w:val="95"/>
        </w:rPr>
        <w:t>和</w:t>
      </w:r>
      <w:r>
        <w:rPr>
          <w:rFonts w:ascii="黑体" w:eastAsia="黑体" w:hint="eastAsia"/>
          <w:spacing w:val="-7"/>
          <w:w w:val="95"/>
        </w:rPr>
        <w:t>目标</w:t>
      </w:r>
      <w:r>
        <w:rPr>
          <w:w w:val="95"/>
        </w:rPr>
        <w:t>（3.16）以及实现这些目标的</w:t>
      </w:r>
      <w:r>
        <w:rPr>
          <w:rFonts w:ascii="黑体" w:eastAsia="黑体" w:hint="eastAsia"/>
          <w:spacing w:val="-7"/>
          <w:w w:val="95"/>
        </w:rPr>
        <w:t>过程</w:t>
      </w:r>
      <w:r>
        <w:rPr>
          <w:w w:val="95"/>
        </w:rPr>
        <w:t>（3.25）的一组相互   </w:t>
      </w:r>
      <w:r>
        <w:rPr/>
        <w:t>关联或相互作用的要素。</w:t>
      </w:r>
    </w:p>
    <w:p>
      <w:pPr>
        <w:spacing w:before="20"/>
        <w:ind w:left="700" w:right="0" w:firstLine="0"/>
        <w:jc w:val="left"/>
        <w:rPr>
          <w:sz w:val="18"/>
        </w:rPr>
      </w:pPr>
      <w:r>
        <w:rPr>
          <w:sz w:val="18"/>
        </w:rPr>
        <w:t>注1：一个管理体系可针对单个或多个领域。</w:t>
      </w:r>
    </w:p>
    <w:p>
      <w:pPr>
        <w:spacing w:before="82"/>
        <w:ind w:left="700" w:right="0" w:firstLine="0"/>
        <w:jc w:val="left"/>
        <w:rPr>
          <w:sz w:val="18"/>
        </w:rPr>
      </w:pPr>
      <w:r>
        <w:rPr>
          <w:sz w:val="18"/>
        </w:rPr>
        <w:t>注2：体系要素包括组织的结构、角色和职责、策划、运行、绩效评价和改进。</w:t>
      </w:r>
    </w:p>
    <w:p>
      <w:pPr>
        <w:spacing w:before="81"/>
        <w:ind w:left="700" w:right="0" w:firstLine="0"/>
        <w:jc w:val="left"/>
        <w:rPr>
          <w:sz w:val="18"/>
        </w:rPr>
      </w:pPr>
      <w:r>
        <w:rPr>
          <w:sz w:val="18"/>
        </w:rPr>
        <w:t>注3：管理体系的范围可包括：整个组织，组织中具体且可识别的职能或部门，或者跨组织的一个或多个职能。</w:t>
      </w:r>
    </w:p>
    <w:p>
      <w:pPr>
        <w:spacing w:after="0"/>
        <w:jc w:val="left"/>
        <w:rPr>
          <w:sz w:val="18"/>
        </w:rPr>
        <w:sectPr>
          <w:pgSz w:w="11910" w:h="16840"/>
          <w:pgMar w:header="1442" w:footer="850" w:top="1660" w:bottom="1040" w:left="1140" w:right="740"/>
        </w:sectPr>
      </w:pPr>
    </w:p>
    <w:p>
      <w:pPr>
        <w:pStyle w:val="BodyText"/>
        <w:spacing w:before="0"/>
        <w:rPr>
          <w:sz w:val="8"/>
        </w:rPr>
      </w:pPr>
    </w:p>
    <w:p>
      <w:pPr>
        <w:spacing w:line="324" w:lineRule="auto" w:before="75"/>
        <w:ind w:left="1128" w:right="504" w:hanging="428"/>
        <w:jc w:val="left"/>
        <w:rPr>
          <w:sz w:val="18"/>
        </w:rPr>
      </w:pPr>
      <w:r>
        <w:rPr>
          <w:sz w:val="18"/>
        </w:rPr>
        <w:t>注4：该术语和定义是《“ISO/IEC导则 第1部分”的ISO补充合并本》附录SL所给出的ISO管理体系标准的通用术语和核心定义之一。为了澄清某些更广泛的管理体系要素，注2做了改写。</w:t>
      </w:r>
    </w:p>
    <w:p>
      <w:pPr>
        <w:pStyle w:val="ListParagraph"/>
        <w:numPr>
          <w:ilvl w:val="1"/>
          <w:numId w:val="11"/>
        </w:numPr>
        <w:tabs>
          <w:tab w:pos="701" w:val="left" w:leader="none"/>
        </w:tabs>
        <w:spacing w:line="250" w:lineRule="exact" w:before="0" w:after="0"/>
        <w:ind w:left="700" w:right="0" w:hanging="423"/>
        <w:jc w:val="left"/>
        <w:rPr>
          <w:rFonts w:ascii="黑体"/>
          <w:sz w:val="21"/>
        </w:rPr>
      </w:pPr>
    </w:p>
    <w:p>
      <w:pPr>
        <w:pStyle w:val="BodyText"/>
        <w:ind w:left="700"/>
        <w:rPr>
          <w:rFonts w:ascii="Arial" w:eastAsia="Arial"/>
        </w:rPr>
      </w:pPr>
      <w:bookmarkStart w:name="职业健康安全管理体系 occupational health and safet" w:id="25"/>
      <w:bookmarkEnd w:id="25"/>
      <w:r>
        <w:rPr/>
      </w:r>
      <w:r>
        <w:rPr>
          <w:rFonts w:ascii="黑体" w:eastAsia="黑体" w:hint="eastAsia"/>
        </w:rPr>
        <w:t>职业健康安全管理体系 </w:t>
      </w:r>
      <w:r>
        <w:rPr>
          <w:rFonts w:ascii="Arial" w:eastAsia="Arial"/>
        </w:rPr>
        <w:t>occupational health and safety management system</w:t>
      </w:r>
    </w:p>
    <w:p>
      <w:pPr>
        <w:pStyle w:val="BodyText"/>
        <w:ind w:left="700"/>
        <w:rPr>
          <w:rFonts w:ascii="Arial" w:eastAsia="Arial"/>
        </w:rPr>
      </w:pPr>
      <w:bookmarkStart w:name="职业健康安全管理体系OH&amp;S management system" w:id="26"/>
      <w:bookmarkEnd w:id="26"/>
      <w:r>
        <w:rPr/>
      </w:r>
      <w:r>
        <w:rPr>
          <w:rFonts w:ascii="黑体" w:eastAsia="黑体" w:hint="eastAsia"/>
        </w:rPr>
        <w:t>职业健康安全管理体系 </w:t>
      </w:r>
      <w:r>
        <w:rPr>
          <w:rFonts w:ascii="Arial" w:eastAsia="Arial"/>
        </w:rPr>
        <w:t>OH&amp;S management system</w:t>
      </w:r>
    </w:p>
    <w:p>
      <w:pPr>
        <w:pStyle w:val="BodyText"/>
        <w:ind w:left="698"/>
      </w:pPr>
      <w:r>
        <w:rPr/>
        <w:t>用于实现</w:t>
      </w:r>
      <w:r>
        <w:rPr>
          <w:rFonts w:ascii="黑体" w:eastAsia="黑体" w:hint="eastAsia"/>
        </w:rPr>
        <w:t>职业健康安全方针</w:t>
      </w:r>
      <w:r>
        <w:rPr/>
        <w:t>（3.15）的</w:t>
      </w:r>
      <w:r>
        <w:rPr>
          <w:rFonts w:ascii="黑体" w:eastAsia="黑体" w:hint="eastAsia"/>
        </w:rPr>
        <w:t>管理体系</w:t>
      </w:r>
      <w:r>
        <w:rPr/>
        <w:t>（3.10）或管理体系的一部分。</w:t>
      </w:r>
    </w:p>
    <w:p>
      <w:pPr>
        <w:spacing w:before="63"/>
        <w:ind w:left="700" w:right="0" w:firstLine="0"/>
        <w:jc w:val="left"/>
        <w:rPr>
          <w:sz w:val="18"/>
        </w:rPr>
      </w:pPr>
      <w:r>
        <w:rPr>
          <w:sz w:val="18"/>
        </w:rPr>
        <w:t>注1：职业健康安全管理体系的目的是防止对</w:t>
      </w:r>
      <w:r>
        <w:rPr>
          <w:rFonts w:ascii="黑体" w:eastAsia="黑体" w:hint="eastAsia"/>
          <w:sz w:val="18"/>
        </w:rPr>
        <w:t>工作人员</w:t>
      </w:r>
      <w:r>
        <w:rPr>
          <w:sz w:val="18"/>
        </w:rPr>
        <w:t>（3.3）的</w:t>
      </w:r>
      <w:r>
        <w:rPr>
          <w:rFonts w:ascii="黑体" w:eastAsia="黑体" w:hint="eastAsia"/>
          <w:sz w:val="18"/>
        </w:rPr>
        <w:t>伤害和健康损害</w:t>
      </w:r>
      <w:r>
        <w:rPr>
          <w:sz w:val="18"/>
        </w:rPr>
        <w:t>（3.18），以及提供健康安全的</w:t>
      </w:r>
    </w:p>
    <w:p>
      <w:pPr>
        <w:spacing w:before="82"/>
        <w:ind w:left="1128" w:right="0" w:firstLine="0"/>
        <w:jc w:val="left"/>
        <w:rPr>
          <w:sz w:val="18"/>
        </w:rPr>
      </w:pPr>
      <w:r>
        <w:rPr>
          <w:rFonts w:ascii="黑体" w:eastAsia="黑体" w:hint="eastAsia"/>
          <w:sz w:val="18"/>
        </w:rPr>
        <w:t>工作场所</w:t>
      </w:r>
      <w:r>
        <w:rPr>
          <w:sz w:val="18"/>
        </w:rPr>
        <w:t>（3.6）。</w:t>
      </w:r>
    </w:p>
    <w:p>
      <w:pPr>
        <w:spacing w:before="81"/>
        <w:ind w:left="700" w:right="0" w:firstLine="0"/>
        <w:jc w:val="left"/>
        <w:rPr>
          <w:sz w:val="18"/>
        </w:rPr>
      </w:pPr>
      <w:r>
        <w:rPr>
          <w:sz w:val="18"/>
        </w:rPr>
        <w:t>注2：职业健康安全（OH&amp;S）与职业安全健康（OSH）同义。</w:t>
      </w:r>
    </w:p>
    <w:p>
      <w:pPr>
        <w:pStyle w:val="ListParagraph"/>
        <w:numPr>
          <w:ilvl w:val="1"/>
          <w:numId w:val="11"/>
        </w:numPr>
        <w:tabs>
          <w:tab w:pos="701" w:val="left" w:leader="none"/>
        </w:tabs>
        <w:spacing w:line="240" w:lineRule="auto" w:before="61" w:after="0"/>
        <w:ind w:left="700" w:right="0" w:hanging="423"/>
        <w:jc w:val="left"/>
        <w:rPr>
          <w:rFonts w:ascii="黑体"/>
          <w:sz w:val="21"/>
        </w:rPr>
      </w:pPr>
    </w:p>
    <w:p>
      <w:pPr>
        <w:pStyle w:val="BodyText"/>
        <w:ind w:left="700"/>
        <w:rPr>
          <w:rFonts w:ascii="Arial" w:eastAsia="Arial"/>
        </w:rPr>
      </w:pPr>
      <w:bookmarkStart w:name="最高管理者 top management" w:id="27"/>
      <w:bookmarkEnd w:id="27"/>
      <w:r>
        <w:rPr/>
      </w:r>
      <w:r>
        <w:rPr>
          <w:rFonts w:ascii="黑体" w:eastAsia="黑体" w:hint="eastAsia"/>
        </w:rPr>
        <w:t>最高管理者 </w:t>
      </w:r>
      <w:r>
        <w:rPr>
          <w:rFonts w:ascii="Arial" w:eastAsia="Arial"/>
        </w:rPr>
        <w:t>top management</w:t>
      </w:r>
    </w:p>
    <w:p>
      <w:pPr>
        <w:pStyle w:val="BodyText"/>
        <w:ind w:left="698"/>
      </w:pPr>
      <w:r>
        <w:rPr/>
        <w:t>在最高层指挥和控制</w:t>
      </w:r>
      <w:r>
        <w:rPr>
          <w:rFonts w:ascii="黑体" w:eastAsia="黑体" w:hint="eastAsia"/>
        </w:rPr>
        <w:t>组织</w:t>
      </w:r>
      <w:r>
        <w:rPr/>
        <w:t>（3.1）的一个人或一组人。</w:t>
      </w:r>
    </w:p>
    <w:p>
      <w:pPr>
        <w:spacing w:line="324" w:lineRule="auto" w:before="63"/>
        <w:ind w:left="1128" w:right="506" w:hanging="428"/>
        <w:jc w:val="left"/>
        <w:rPr>
          <w:sz w:val="18"/>
        </w:rPr>
      </w:pPr>
      <w:r>
        <w:rPr>
          <w:sz w:val="18"/>
        </w:rPr>
        <w:t>注1：在保留对</w:t>
      </w:r>
      <w:r>
        <w:rPr>
          <w:rFonts w:ascii="黑体" w:eastAsia="黑体" w:hint="eastAsia"/>
          <w:sz w:val="18"/>
        </w:rPr>
        <w:t>职业健康安全管理体系</w:t>
      </w:r>
      <w:r>
        <w:rPr>
          <w:sz w:val="18"/>
        </w:rPr>
        <w:t>（3.11）承担最终责任的前提下，最高管理者有权在组织内授权和提供资源。</w:t>
      </w:r>
    </w:p>
    <w:p>
      <w:pPr>
        <w:spacing w:before="2"/>
        <w:ind w:left="700" w:right="0" w:firstLine="0"/>
        <w:jc w:val="left"/>
        <w:rPr>
          <w:sz w:val="18"/>
        </w:rPr>
      </w:pPr>
      <w:r>
        <w:rPr>
          <w:sz w:val="18"/>
        </w:rPr>
        <w:t>注2：若</w:t>
      </w:r>
      <w:r>
        <w:rPr>
          <w:rFonts w:ascii="黑体" w:eastAsia="黑体" w:hint="eastAsia"/>
          <w:sz w:val="18"/>
        </w:rPr>
        <w:t>管理体系</w:t>
      </w:r>
      <w:r>
        <w:rPr>
          <w:sz w:val="18"/>
        </w:rPr>
        <w:t>（3.10）的范围仅覆盖组织的一部分，则最高管理者是指那些指挥和控制该部分的人员。</w:t>
      </w:r>
    </w:p>
    <w:p>
      <w:pPr>
        <w:spacing w:line="324" w:lineRule="auto" w:before="81"/>
        <w:ind w:left="1128" w:right="504" w:hanging="428"/>
        <w:jc w:val="left"/>
        <w:rPr>
          <w:sz w:val="18"/>
        </w:rPr>
      </w:pPr>
      <w:r>
        <w:rPr>
          <w:sz w:val="18"/>
        </w:rPr>
        <w:t>注3：该术语和定义是《“ISO/IEC导则 第1部分”的ISO补充合并本》附录SL所给出的ISO管理体系标准的通用术语和核心定义之一。为了澄清与职业健康安全管理体系有关的最高管理者的职责，注1做了改写。</w:t>
      </w:r>
    </w:p>
    <w:p>
      <w:pPr>
        <w:pStyle w:val="ListParagraph"/>
        <w:numPr>
          <w:ilvl w:val="1"/>
          <w:numId w:val="11"/>
        </w:numPr>
        <w:tabs>
          <w:tab w:pos="701" w:val="left" w:leader="none"/>
        </w:tabs>
        <w:spacing w:line="250" w:lineRule="exact" w:before="0" w:after="0"/>
        <w:ind w:left="700" w:right="0" w:hanging="423"/>
        <w:jc w:val="left"/>
        <w:rPr>
          <w:rFonts w:ascii="黑体"/>
          <w:sz w:val="21"/>
        </w:rPr>
      </w:pPr>
    </w:p>
    <w:p>
      <w:pPr>
        <w:pStyle w:val="BodyText"/>
        <w:ind w:left="700"/>
        <w:rPr>
          <w:rFonts w:ascii="Arial" w:eastAsia="Arial"/>
        </w:rPr>
      </w:pPr>
      <w:bookmarkStart w:name="有效性 effectiveness " w:id="28"/>
      <w:bookmarkEnd w:id="28"/>
      <w:r>
        <w:rPr/>
      </w:r>
      <w:r>
        <w:rPr>
          <w:rFonts w:ascii="黑体" w:eastAsia="黑体" w:hint="eastAsia"/>
        </w:rPr>
        <w:t>有效性 </w:t>
      </w:r>
      <w:r>
        <w:rPr>
          <w:rFonts w:ascii="Arial" w:eastAsia="Arial"/>
        </w:rPr>
        <w:t>effectiveness</w:t>
      </w:r>
    </w:p>
    <w:p>
      <w:pPr>
        <w:pStyle w:val="BodyText"/>
        <w:ind w:left="698"/>
      </w:pPr>
      <w:r>
        <w:rPr/>
        <w:t>完成策划的活动并得到策划结果的程度。</w:t>
      </w:r>
    </w:p>
    <w:p>
      <w:pPr>
        <w:spacing w:line="324" w:lineRule="auto" w:before="63"/>
        <w:ind w:left="1128" w:right="504" w:hanging="428"/>
        <w:jc w:val="left"/>
        <w:rPr>
          <w:sz w:val="18"/>
        </w:rPr>
      </w:pPr>
      <w:r>
        <w:rPr>
          <w:sz w:val="18"/>
        </w:rPr>
        <w:t>注： 该术语和定义是《“ISO/IEC导则 第1部分”的ISO补充合并本》附录SL所给出的ISO管理体系标准的通用术语和核心定义之一。</w:t>
      </w:r>
    </w:p>
    <w:p>
      <w:pPr>
        <w:pStyle w:val="ListParagraph"/>
        <w:numPr>
          <w:ilvl w:val="1"/>
          <w:numId w:val="11"/>
        </w:numPr>
        <w:tabs>
          <w:tab w:pos="701" w:val="left" w:leader="none"/>
        </w:tabs>
        <w:spacing w:line="250" w:lineRule="exact" w:before="0" w:after="0"/>
        <w:ind w:left="700" w:right="0" w:hanging="423"/>
        <w:jc w:val="left"/>
        <w:rPr>
          <w:rFonts w:ascii="黑体"/>
          <w:sz w:val="21"/>
        </w:rPr>
      </w:pPr>
    </w:p>
    <w:p>
      <w:pPr>
        <w:pStyle w:val="BodyText"/>
        <w:ind w:left="700"/>
        <w:rPr>
          <w:rFonts w:ascii="Arial" w:eastAsia="Arial"/>
        </w:rPr>
      </w:pPr>
      <w:bookmarkStart w:name="方针 policy" w:id="29"/>
      <w:bookmarkEnd w:id="29"/>
      <w:r>
        <w:rPr/>
      </w:r>
      <w:r>
        <w:rPr>
          <w:rFonts w:ascii="黑体" w:eastAsia="黑体" w:hint="eastAsia"/>
        </w:rPr>
        <w:t>方针 </w:t>
      </w:r>
      <w:r>
        <w:rPr>
          <w:rFonts w:ascii="Arial" w:eastAsia="Arial"/>
        </w:rPr>
        <w:t>policy</w:t>
      </w:r>
    </w:p>
    <w:p>
      <w:pPr>
        <w:pStyle w:val="BodyText"/>
        <w:ind w:left="698"/>
      </w:pPr>
      <w:r>
        <w:rPr/>
        <w:t>由组织</w:t>
      </w:r>
      <w:r>
        <w:rPr>
          <w:rFonts w:ascii="黑体" w:eastAsia="黑体" w:hint="eastAsia"/>
        </w:rPr>
        <w:t>最高管理者</w:t>
      </w:r>
      <w:r>
        <w:rPr/>
        <w:t>（3.12）正式表述的</w:t>
      </w:r>
      <w:r>
        <w:rPr>
          <w:rFonts w:ascii="黑体" w:eastAsia="黑体" w:hint="eastAsia"/>
        </w:rPr>
        <w:t>组织</w:t>
      </w:r>
      <w:r>
        <w:rPr/>
        <w:t>（3.1）意图和方向。</w:t>
      </w:r>
    </w:p>
    <w:p>
      <w:pPr>
        <w:spacing w:line="324" w:lineRule="auto" w:before="63"/>
        <w:ind w:left="1128" w:right="504" w:hanging="428"/>
        <w:jc w:val="left"/>
        <w:rPr>
          <w:sz w:val="18"/>
        </w:rPr>
      </w:pPr>
      <w:r>
        <w:rPr>
          <w:sz w:val="18"/>
        </w:rPr>
        <w:t>注： 该术语和定义是《“ISO/IEC导则 第1部分”的ISO补充合并本》附录SL所给出的ISO管理体系标准的通用术语和核心定义之一。</w:t>
      </w:r>
    </w:p>
    <w:p>
      <w:pPr>
        <w:pStyle w:val="ListParagraph"/>
        <w:numPr>
          <w:ilvl w:val="1"/>
          <w:numId w:val="11"/>
        </w:numPr>
        <w:tabs>
          <w:tab w:pos="701" w:val="left" w:leader="none"/>
        </w:tabs>
        <w:spacing w:line="250" w:lineRule="exact" w:before="0" w:after="0"/>
        <w:ind w:left="700" w:right="0" w:hanging="423"/>
        <w:jc w:val="left"/>
        <w:rPr>
          <w:rFonts w:ascii="黑体"/>
          <w:sz w:val="21"/>
        </w:rPr>
      </w:pPr>
    </w:p>
    <w:p>
      <w:pPr>
        <w:pStyle w:val="BodyText"/>
        <w:ind w:left="700"/>
        <w:rPr>
          <w:rFonts w:ascii="Arial" w:eastAsia="Arial"/>
        </w:rPr>
      </w:pPr>
      <w:bookmarkStart w:name="职业健康安全方针 occupational health and safety " w:id="30"/>
      <w:bookmarkEnd w:id="30"/>
      <w:r>
        <w:rPr/>
      </w:r>
      <w:r>
        <w:rPr>
          <w:rFonts w:ascii="黑体" w:eastAsia="黑体" w:hint="eastAsia"/>
        </w:rPr>
        <w:t>职业健康安全方针 </w:t>
      </w:r>
      <w:r>
        <w:rPr>
          <w:rFonts w:ascii="Arial" w:eastAsia="Arial"/>
        </w:rPr>
        <w:t>occupational health and safety policy</w:t>
      </w:r>
    </w:p>
    <w:p>
      <w:pPr>
        <w:pStyle w:val="BodyText"/>
        <w:ind w:left="700"/>
        <w:rPr>
          <w:rFonts w:ascii="Arial" w:eastAsia="Arial"/>
        </w:rPr>
      </w:pPr>
      <w:bookmarkStart w:name="职业健康安全方针 OH&amp;S policy" w:id="31"/>
      <w:bookmarkEnd w:id="31"/>
      <w:r>
        <w:rPr/>
      </w:r>
      <w:r>
        <w:rPr>
          <w:rFonts w:ascii="黑体" w:eastAsia="黑体" w:hint="eastAsia"/>
        </w:rPr>
        <w:t>职业健康安全方针 </w:t>
      </w:r>
      <w:r>
        <w:rPr>
          <w:rFonts w:ascii="Arial" w:eastAsia="Arial"/>
        </w:rPr>
        <w:t>OH&amp;S policy</w:t>
      </w:r>
    </w:p>
    <w:p>
      <w:pPr>
        <w:pStyle w:val="BodyText"/>
        <w:spacing w:line="278" w:lineRule="auto"/>
        <w:ind w:left="278" w:right="400" w:firstLine="420"/>
      </w:pPr>
      <w:r>
        <w:rPr>
          <w:w w:val="95"/>
        </w:rPr>
        <w:t>防止</w:t>
      </w:r>
      <w:r>
        <w:rPr>
          <w:rFonts w:ascii="黑体" w:eastAsia="黑体" w:hint="eastAsia"/>
          <w:spacing w:val="-16"/>
          <w:w w:val="95"/>
        </w:rPr>
        <w:t>工作人员</w:t>
      </w:r>
      <w:r>
        <w:rPr>
          <w:spacing w:val="-13"/>
          <w:w w:val="95"/>
        </w:rPr>
        <w:t>（3.3）</w:t>
      </w:r>
      <w:r>
        <w:rPr>
          <w:w w:val="95"/>
        </w:rPr>
        <w:t>受到与工作相关的</w:t>
      </w:r>
      <w:r>
        <w:rPr>
          <w:rFonts w:ascii="黑体" w:eastAsia="黑体" w:hint="eastAsia"/>
          <w:spacing w:val="-9"/>
          <w:w w:val="95"/>
        </w:rPr>
        <w:t>伤害和健康损害</w:t>
      </w:r>
      <w:r>
        <w:rPr>
          <w:spacing w:val="-11"/>
          <w:w w:val="95"/>
        </w:rPr>
        <w:t>（3.18）</w:t>
      </w:r>
      <w:r>
        <w:rPr>
          <w:w w:val="95"/>
        </w:rPr>
        <w:t>并提供健康安全的</w:t>
      </w:r>
      <w:r>
        <w:rPr>
          <w:rFonts w:ascii="黑体" w:eastAsia="黑体" w:hint="eastAsia"/>
          <w:spacing w:val="-16"/>
          <w:w w:val="95"/>
        </w:rPr>
        <w:t>工作场所</w:t>
      </w:r>
      <w:r>
        <w:rPr>
          <w:w w:val="95"/>
        </w:rPr>
        <w:t>（3.6）   </w:t>
      </w:r>
      <w:r>
        <w:rPr/>
        <w:t>的</w:t>
      </w:r>
      <w:r>
        <w:rPr>
          <w:rFonts w:ascii="黑体" w:eastAsia="黑体" w:hint="eastAsia"/>
        </w:rPr>
        <w:t>方针</w:t>
      </w:r>
      <w:r>
        <w:rPr/>
        <w:t>（3.14）。</w:t>
      </w:r>
    </w:p>
    <w:p>
      <w:pPr>
        <w:pStyle w:val="ListParagraph"/>
        <w:numPr>
          <w:ilvl w:val="1"/>
          <w:numId w:val="11"/>
        </w:numPr>
        <w:tabs>
          <w:tab w:pos="701" w:val="left" w:leader="none"/>
        </w:tabs>
        <w:spacing w:line="269" w:lineRule="exact" w:before="0" w:after="0"/>
        <w:ind w:left="700" w:right="0" w:hanging="423"/>
        <w:jc w:val="left"/>
        <w:rPr>
          <w:rFonts w:ascii="黑体"/>
          <w:sz w:val="21"/>
        </w:rPr>
      </w:pPr>
    </w:p>
    <w:p>
      <w:pPr>
        <w:pStyle w:val="BodyText"/>
        <w:spacing w:before="42"/>
        <w:ind w:left="700"/>
        <w:rPr>
          <w:rFonts w:ascii="Arial" w:eastAsia="Arial"/>
        </w:rPr>
      </w:pPr>
      <w:bookmarkStart w:name="目标 objective" w:id="32"/>
      <w:bookmarkEnd w:id="32"/>
      <w:r>
        <w:rPr/>
      </w:r>
      <w:r>
        <w:rPr>
          <w:rFonts w:ascii="黑体" w:eastAsia="黑体" w:hint="eastAsia"/>
        </w:rPr>
        <w:t>目标 </w:t>
      </w:r>
      <w:r>
        <w:rPr>
          <w:rFonts w:ascii="Arial" w:eastAsia="Arial"/>
        </w:rPr>
        <w:t>objective</w:t>
      </w:r>
    </w:p>
    <w:p>
      <w:pPr>
        <w:pStyle w:val="BodyText"/>
        <w:ind w:left="698"/>
      </w:pPr>
      <w:r>
        <w:rPr/>
        <w:t>要实现的结果。</w:t>
      </w:r>
    </w:p>
    <w:p>
      <w:pPr>
        <w:spacing w:before="64"/>
        <w:ind w:left="700" w:right="0" w:firstLine="0"/>
        <w:jc w:val="left"/>
        <w:rPr>
          <w:sz w:val="18"/>
        </w:rPr>
      </w:pPr>
      <w:r>
        <w:rPr>
          <w:sz w:val="18"/>
        </w:rPr>
        <w:t>注1：目标可以是战略性的、战术性的或运行层面的。</w:t>
      </w:r>
    </w:p>
    <w:p>
      <w:pPr>
        <w:spacing w:line="324" w:lineRule="auto" w:before="81"/>
        <w:ind w:left="1128" w:right="501" w:hanging="428"/>
        <w:jc w:val="left"/>
        <w:rPr>
          <w:sz w:val="18"/>
        </w:rPr>
      </w:pPr>
      <w:r>
        <w:rPr>
          <w:sz w:val="18"/>
        </w:rPr>
        <w:t>注2：目标可涉及不同领域（如财务的、健康安全的和环境的目标），并可应用于不同层面[如战略层面、组织整体层面、项目层面、产品和</w:t>
      </w:r>
      <w:r>
        <w:rPr>
          <w:rFonts w:ascii="黑体" w:eastAsia="黑体" w:hint="eastAsia"/>
          <w:sz w:val="18"/>
        </w:rPr>
        <w:t>过程</w:t>
      </w:r>
      <w:r>
        <w:rPr>
          <w:sz w:val="18"/>
        </w:rPr>
        <w:t>（3.25）层面]。</w:t>
      </w:r>
    </w:p>
    <w:p>
      <w:pPr>
        <w:spacing w:line="324" w:lineRule="auto" w:before="1"/>
        <w:ind w:left="1128" w:right="415" w:hanging="428"/>
        <w:jc w:val="left"/>
        <w:rPr>
          <w:sz w:val="18"/>
        </w:rPr>
      </w:pPr>
      <w:r>
        <w:rPr>
          <w:sz w:val="18"/>
        </w:rPr>
        <w:t>注</w:t>
      </w:r>
      <w:r>
        <w:rPr>
          <w:spacing w:val="-15"/>
          <w:sz w:val="18"/>
        </w:rPr>
        <w:t>3</w:t>
      </w:r>
      <w:r>
        <w:rPr>
          <w:spacing w:val="-11"/>
          <w:sz w:val="18"/>
        </w:rPr>
        <w:t>：目标可按其他方式来表述，例如：按预期结果、意图、运行准则来表述目标；按某</w:t>
      </w:r>
      <w:r>
        <w:rPr>
          <w:rFonts w:ascii="黑体" w:eastAsia="黑体" w:hint="eastAsia"/>
          <w:spacing w:val="-3"/>
          <w:sz w:val="18"/>
        </w:rPr>
        <w:t>职业健康安全目标</w:t>
      </w:r>
      <w:r>
        <w:rPr>
          <w:spacing w:val="-3"/>
          <w:sz w:val="18"/>
        </w:rPr>
        <w:t>（3.17） </w:t>
      </w:r>
      <w:r>
        <w:rPr>
          <w:sz w:val="18"/>
        </w:rPr>
        <w:t>来表述目标；使用其它近义词（如靶向、追求或目的等）来表述目标。</w:t>
      </w:r>
    </w:p>
    <w:p>
      <w:pPr>
        <w:spacing w:line="324" w:lineRule="auto" w:before="2"/>
        <w:ind w:left="1128" w:right="504" w:hanging="428"/>
        <w:jc w:val="left"/>
        <w:rPr>
          <w:sz w:val="18"/>
        </w:rPr>
      </w:pPr>
      <w:r>
        <w:rPr>
          <w:sz w:val="18"/>
        </w:rPr>
        <w:t>注4：该术语和定义是《“ISO/IEC导则 第1部分”的ISO补充合并本》附录SL所给出的ISO管理体系标准的通用术语和核心定义之一。由于术语“职业健康安全目标”作为单独的术语在3.17中给出定义，原注4被删除。</w:t>
      </w:r>
    </w:p>
    <w:p>
      <w:pPr>
        <w:pStyle w:val="ListParagraph"/>
        <w:numPr>
          <w:ilvl w:val="1"/>
          <w:numId w:val="11"/>
        </w:numPr>
        <w:tabs>
          <w:tab w:pos="699" w:val="left" w:leader="none"/>
        </w:tabs>
        <w:spacing w:line="250" w:lineRule="exact" w:before="0" w:after="0"/>
        <w:ind w:left="698" w:right="0" w:hanging="424"/>
        <w:jc w:val="left"/>
        <w:rPr>
          <w:rFonts w:ascii="黑体"/>
          <w:sz w:val="21"/>
        </w:rPr>
      </w:pPr>
    </w:p>
    <w:p>
      <w:pPr>
        <w:pStyle w:val="BodyText"/>
        <w:ind w:left="700"/>
        <w:rPr>
          <w:rFonts w:ascii="Arial" w:eastAsia="Arial"/>
        </w:rPr>
      </w:pPr>
      <w:bookmarkStart w:name="职业健康安全目标 occupational health and safety " w:id="33"/>
      <w:bookmarkEnd w:id="33"/>
      <w:r>
        <w:rPr/>
      </w:r>
      <w:r>
        <w:rPr>
          <w:rFonts w:ascii="黑体" w:eastAsia="黑体" w:hint="eastAsia"/>
        </w:rPr>
        <w:t>职业健康安全目标 </w:t>
      </w:r>
      <w:r>
        <w:rPr>
          <w:rFonts w:ascii="Arial" w:eastAsia="Arial"/>
        </w:rPr>
        <w:t>occupational health and safety objective</w:t>
      </w:r>
    </w:p>
    <w:p>
      <w:pPr>
        <w:spacing w:after="0"/>
        <w:rPr>
          <w:rFonts w:ascii="Arial" w:eastAsia="Arial"/>
        </w:rPr>
        <w:sectPr>
          <w:pgSz w:w="11910" w:h="16840"/>
          <w:pgMar w:header="1442" w:footer="850" w:top="1660" w:bottom="1040" w:left="1140" w:right="740"/>
        </w:sectPr>
      </w:pPr>
    </w:p>
    <w:p>
      <w:pPr>
        <w:pStyle w:val="BodyText"/>
        <w:spacing w:before="157"/>
        <w:ind w:left="700"/>
        <w:rPr>
          <w:rFonts w:ascii="Arial" w:eastAsia="Arial"/>
        </w:rPr>
      </w:pPr>
      <w:bookmarkStart w:name="职业健康安全目标 OH&amp;S objective" w:id="34"/>
      <w:bookmarkEnd w:id="34"/>
      <w:r>
        <w:rPr/>
      </w:r>
      <w:r>
        <w:rPr>
          <w:rFonts w:ascii="黑体" w:eastAsia="黑体" w:hint="eastAsia"/>
        </w:rPr>
        <w:t>职业健康安全目标 </w:t>
      </w:r>
      <w:r>
        <w:rPr>
          <w:rFonts w:ascii="Arial" w:eastAsia="Arial"/>
        </w:rPr>
        <w:t>OH&amp;S objective</w:t>
      </w:r>
    </w:p>
    <w:p>
      <w:pPr>
        <w:pStyle w:val="BodyText"/>
        <w:spacing w:line="278" w:lineRule="auto"/>
        <w:ind w:left="278" w:right="823" w:firstLine="420"/>
        <w:rPr>
          <w:rFonts w:ascii="黑体" w:eastAsia="黑体" w:hint="eastAsia"/>
        </w:rPr>
      </w:pPr>
      <w:r>
        <w:rPr>
          <w:rFonts w:ascii="黑体" w:eastAsia="黑体" w:hint="eastAsia"/>
          <w:w w:val="95"/>
        </w:rPr>
        <w:t>组织</w:t>
      </w:r>
      <w:r>
        <w:rPr>
          <w:w w:val="95"/>
        </w:rPr>
        <w:t>（3.1）为实现与</w:t>
      </w:r>
      <w:r>
        <w:rPr>
          <w:rFonts w:ascii="黑体" w:eastAsia="黑体" w:hint="eastAsia"/>
          <w:w w:val="95"/>
        </w:rPr>
        <w:t>职业健康安全方针</w:t>
      </w:r>
      <w:r>
        <w:rPr>
          <w:w w:val="95"/>
        </w:rPr>
        <w:t>（3.15）相一致的特定结果而制定的</w:t>
      </w:r>
      <w:r>
        <w:rPr>
          <w:rFonts w:ascii="黑体" w:eastAsia="黑体" w:hint="eastAsia"/>
          <w:w w:val="95"/>
        </w:rPr>
        <w:t>目标</w:t>
      </w:r>
      <w:r>
        <w:rPr>
          <w:w w:val="95"/>
        </w:rPr>
        <w:t>（3.16）。 </w:t>
      </w:r>
      <w:r>
        <w:rPr>
          <w:rFonts w:ascii="黑体" w:eastAsia="黑体" w:hint="eastAsia"/>
        </w:rPr>
        <w:t>3.18</w:t>
      </w:r>
    </w:p>
    <w:p>
      <w:pPr>
        <w:pStyle w:val="BodyText"/>
        <w:spacing w:before="0"/>
        <w:ind w:left="700"/>
        <w:rPr>
          <w:rFonts w:ascii="Arial" w:eastAsia="Arial"/>
        </w:rPr>
      </w:pPr>
      <w:bookmarkStart w:name="伤害和健康损害 injury and ill health" w:id="35"/>
      <w:bookmarkEnd w:id="35"/>
      <w:r>
        <w:rPr/>
      </w:r>
      <w:r>
        <w:rPr>
          <w:rFonts w:ascii="黑体" w:eastAsia="黑体" w:hint="eastAsia"/>
        </w:rPr>
        <w:t>伤害和健康损害 </w:t>
      </w:r>
      <w:r>
        <w:rPr>
          <w:rFonts w:ascii="Arial" w:eastAsia="Arial"/>
        </w:rPr>
        <w:t>injury and ill health</w:t>
      </w:r>
    </w:p>
    <w:p>
      <w:pPr>
        <w:pStyle w:val="BodyText"/>
        <w:ind w:left="698"/>
      </w:pPr>
      <w:r>
        <w:rPr/>
        <w:t>对人的生理、心理或认知状况的不利影响。</w:t>
      </w:r>
    </w:p>
    <w:p>
      <w:pPr>
        <w:spacing w:before="63"/>
        <w:ind w:left="700" w:right="0" w:firstLine="0"/>
        <w:jc w:val="left"/>
        <w:rPr>
          <w:sz w:val="18"/>
        </w:rPr>
      </w:pPr>
      <w:r>
        <w:rPr>
          <w:sz w:val="18"/>
        </w:rPr>
        <w:t>注1：这些不利影响包括职业疾病、不健康和死亡。</w:t>
      </w:r>
    </w:p>
    <w:p>
      <w:pPr>
        <w:spacing w:before="82"/>
        <w:ind w:left="700" w:right="0" w:firstLine="0"/>
        <w:jc w:val="left"/>
        <w:rPr>
          <w:sz w:val="18"/>
        </w:rPr>
      </w:pPr>
      <w:r>
        <w:rPr>
          <w:sz w:val="18"/>
        </w:rPr>
        <w:t>注2：术语“伤害和健康损害”意味着存在伤害和（或）健康损害。</w:t>
      </w:r>
    </w:p>
    <w:p>
      <w:pPr>
        <w:pStyle w:val="BodyText"/>
        <w:spacing w:before="61"/>
        <w:ind w:left="278"/>
        <w:rPr>
          <w:rFonts w:ascii="黑体"/>
        </w:rPr>
      </w:pPr>
      <w:r>
        <w:rPr>
          <w:rFonts w:ascii="黑体"/>
        </w:rPr>
        <w:t>3.19</w:t>
      </w:r>
    </w:p>
    <w:p>
      <w:pPr>
        <w:pStyle w:val="BodyText"/>
        <w:spacing w:line="278" w:lineRule="auto"/>
        <w:ind w:left="700" w:right="7739"/>
        <w:rPr>
          <w:rFonts w:ascii="Arial" w:eastAsia="Arial"/>
        </w:rPr>
      </w:pPr>
      <w:bookmarkStart w:name="危险源 hazard" w:id="36"/>
      <w:bookmarkEnd w:id="36"/>
      <w:r>
        <w:rPr/>
      </w:r>
      <w:r>
        <w:rPr>
          <w:rFonts w:ascii="黑体" w:eastAsia="黑体" w:hint="eastAsia"/>
        </w:rPr>
        <w:t>危 险 源 </w:t>
      </w:r>
      <w:r>
        <w:rPr>
          <w:rFonts w:ascii="Arial" w:eastAsia="Arial"/>
        </w:rPr>
        <w:t>hazard</w:t>
      </w:r>
      <w:bookmarkStart w:name="危害因素 hazard" w:id="37"/>
      <w:bookmarkEnd w:id="37"/>
      <w:r>
        <w:rPr>
          <w:rFonts w:ascii="Arial" w:eastAsia="Arial"/>
        </w:rPr>
      </w:r>
      <w:r>
        <w:rPr>
          <w:rFonts w:ascii="Arial" w:eastAsia="Arial"/>
        </w:rPr>
        <w:t> </w:t>
      </w:r>
      <w:r>
        <w:rPr>
          <w:rFonts w:ascii="黑体" w:eastAsia="黑体" w:hint="eastAsia"/>
        </w:rPr>
        <w:t>危害因素 </w:t>
      </w:r>
      <w:r>
        <w:rPr>
          <w:rFonts w:ascii="Arial" w:eastAsia="Arial"/>
        </w:rPr>
        <w:t>hazard </w:t>
      </w:r>
      <w:bookmarkStart w:name="危害来源 hazard" w:id="38"/>
      <w:bookmarkEnd w:id="38"/>
      <w:r>
        <w:rPr>
          <w:rFonts w:ascii="Arial" w:eastAsia="Arial"/>
        </w:rPr>
      </w:r>
      <w:r>
        <w:rPr>
          <w:rFonts w:ascii="黑体" w:eastAsia="黑体" w:hint="eastAsia"/>
        </w:rPr>
        <w:t>危害来源 </w:t>
      </w:r>
      <w:r>
        <w:rPr>
          <w:rFonts w:ascii="Arial" w:eastAsia="Arial"/>
        </w:rPr>
        <w:t>hazard</w:t>
      </w:r>
    </w:p>
    <w:p>
      <w:pPr>
        <w:pStyle w:val="BodyText"/>
        <w:spacing w:line="269" w:lineRule="exact" w:before="0"/>
        <w:ind w:left="698"/>
      </w:pPr>
      <w:r>
        <w:rPr/>
        <w:t>可能导致</w:t>
      </w:r>
      <w:r>
        <w:rPr>
          <w:rFonts w:ascii="黑体" w:eastAsia="黑体" w:hint="eastAsia"/>
        </w:rPr>
        <w:t>伤害和健康损害</w:t>
      </w:r>
      <w:r>
        <w:rPr/>
        <w:t>（3.18）的来源。</w:t>
      </w:r>
    </w:p>
    <w:p>
      <w:pPr>
        <w:spacing w:before="63"/>
        <w:ind w:left="700" w:right="0" w:firstLine="0"/>
        <w:jc w:val="left"/>
        <w:rPr>
          <w:sz w:val="18"/>
        </w:rPr>
      </w:pPr>
      <w:r>
        <w:rPr>
          <w:sz w:val="18"/>
        </w:rPr>
        <w:t>注1：危险源可包括可能导致伤害或危险状态的来源，或可能因暴露而导致伤害和健康损害的环境。</w:t>
      </w:r>
    </w:p>
    <w:p>
      <w:pPr>
        <w:spacing w:line="324" w:lineRule="auto" w:before="81"/>
        <w:ind w:left="1128" w:right="408" w:hanging="428"/>
        <w:jc w:val="both"/>
        <w:rPr>
          <w:sz w:val="18"/>
        </w:rPr>
      </w:pPr>
      <w:r>
        <w:rPr>
          <w:sz w:val="18"/>
        </w:rPr>
        <w:t>注2</w:t>
      </w:r>
      <w:r>
        <w:rPr>
          <w:spacing w:val="-1"/>
          <w:sz w:val="18"/>
        </w:rPr>
        <w:t>：考虑到中国安全生产领域现实存在的相关称谓，本标准视“危险源”、“危害因素”和“危害来源”同义。</w:t>
      </w:r>
      <w:r>
        <w:rPr>
          <w:spacing w:val="-12"/>
          <w:sz w:val="18"/>
        </w:rPr>
        <w:t>但对于中国安全生产领域中那些仅涉及对“物”或“财产”的损害而不涉及对“人”的</w:t>
      </w:r>
      <w:r>
        <w:rPr>
          <w:rFonts w:ascii="黑体" w:hAnsi="黑体" w:eastAsia="黑体" w:hint="eastAsia"/>
          <w:spacing w:val="-7"/>
          <w:sz w:val="18"/>
        </w:rPr>
        <w:t>伤害和健康损害</w:t>
      </w:r>
      <w:r>
        <w:rPr>
          <w:rFonts w:ascii="黑体" w:hAnsi="黑体" w:eastAsia="黑体" w:hint="eastAsia"/>
          <w:spacing w:val="-3"/>
          <w:sz w:val="18"/>
        </w:rPr>
        <w:t>（3.18） </w:t>
      </w:r>
      <w:r>
        <w:rPr>
          <w:sz w:val="18"/>
        </w:rPr>
        <w:t>的情况，本标准的术语“危险源”、“危害因素”或“危害来源”则不适用。</w:t>
      </w:r>
    </w:p>
    <w:p>
      <w:pPr>
        <w:pStyle w:val="BodyText"/>
        <w:spacing w:line="251" w:lineRule="exact" w:before="0"/>
        <w:ind w:left="278"/>
        <w:rPr>
          <w:rFonts w:ascii="黑体"/>
        </w:rPr>
      </w:pPr>
      <w:r>
        <w:rPr>
          <w:rFonts w:ascii="黑体"/>
        </w:rPr>
        <w:t>3.20</w:t>
      </w:r>
    </w:p>
    <w:p>
      <w:pPr>
        <w:pStyle w:val="BodyText"/>
        <w:ind w:left="700"/>
        <w:rPr>
          <w:rFonts w:ascii="Arial" w:eastAsia="Arial"/>
        </w:rPr>
      </w:pPr>
      <w:bookmarkStart w:name="风险 risk " w:id="39"/>
      <w:bookmarkEnd w:id="39"/>
      <w:r>
        <w:rPr/>
      </w:r>
      <w:r>
        <w:rPr>
          <w:rFonts w:ascii="黑体" w:eastAsia="黑体" w:hint="eastAsia"/>
        </w:rPr>
        <w:t>风险 </w:t>
      </w:r>
      <w:r>
        <w:rPr>
          <w:rFonts w:ascii="Arial" w:eastAsia="Arial"/>
        </w:rPr>
        <w:t>risk</w:t>
      </w:r>
    </w:p>
    <w:p>
      <w:pPr>
        <w:pStyle w:val="BodyText"/>
        <w:ind w:left="698"/>
      </w:pPr>
      <w:r>
        <w:rPr/>
        <w:t>不确定性的影响。</w:t>
      </w:r>
    </w:p>
    <w:p>
      <w:pPr>
        <w:spacing w:before="63"/>
        <w:ind w:left="700" w:right="0" w:firstLine="0"/>
        <w:jc w:val="left"/>
        <w:rPr>
          <w:sz w:val="18"/>
        </w:rPr>
      </w:pPr>
      <w:r>
        <w:rPr>
          <w:sz w:val="18"/>
        </w:rPr>
        <w:t>注1：影响是指对预期的偏离——正面的或负面的。</w:t>
      </w:r>
    </w:p>
    <w:p>
      <w:pPr>
        <w:spacing w:before="81"/>
        <w:ind w:left="700" w:right="0" w:firstLine="0"/>
        <w:jc w:val="left"/>
        <w:rPr>
          <w:sz w:val="18"/>
        </w:rPr>
      </w:pPr>
      <w:r>
        <w:rPr>
          <w:sz w:val="18"/>
        </w:rPr>
        <w:t>注2：不确定性是指对事件及其后果或可能性缺乏甚至部分缺乏相关信息、理解或知识的状态。</w:t>
      </w:r>
    </w:p>
    <w:p>
      <w:pPr>
        <w:spacing w:line="324" w:lineRule="auto" w:before="82"/>
        <w:ind w:left="1128" w:right="339" w:hanging="428"/>
        <w:jc w:val="left"/>
        <w:rPr>
          <w:sz w:val="18"/>
        </w:rPr>
      </w:pPr>
      <w:r>
        <w:rPr>
          <w:sz w:val="18"/>
        </w:rPr>
        <w:t>注</w:t>
      </w:r>
      <w:r>
        <w:rPr>
          <w:spacing w:val="-2"/>
          <w:sz w:val="18"/>
        </w:rPr>
        <w:t>3</w:t>
      </w:r>
      <w:r>
        <w:rPr>
          <w:sz w:val="18"/>
        </w:rPr>
        <w:t>：通常，风险以潜在“事件”（见</w:t>
      </w:r>
      <w:r>
        <w:rPr>
          <w:spacing w:val="1"/>
          <w:sz w:val="18"/>
        </w:rPr>
        <w:t>G</w:t>
      </w:r>
      <w:r>
        <w:rPr>
          <w:spacing w:val="-2"/>
          <w:sz w:val="18"/>
        </w:rPr>
        <w:t>B</w:t>
      </w:r>
      <w:r>
        <w:rPr>
          <w:spacing w:val="1"/>
          <w:sz w:val="18"/>
        </w:rPr>
        <w:t>/</w:t>
      </w:r>
      <w:r>
        <w:rPr>
          <w:sz w:val="18"/>
        </w:rPr>
        <w:t>T </w:t>
      </w:r>
      <w:r>
        <w:rPr>
          <w:spacing w:val="1"/>
          <w:sz w:val="18"/>
        </w:rPr>
        <w:t>2</w:t>
      </w:r>
      <w:r>
        <w:rPr>
          <w:spacing w:val="-2"/>
          <w:sz w:val="18"/>
        </w:rPr>
        <w:t>3</w:t>
      </w:r>
      <w:r>
        <w:rPr>
          <w:spacing w:val="1"/>
          <w:sz w:val="18"/>
        </w:rPr>
        <w:t>6</w:t>
      </w:r>
      <w:r>
        <w:rPr>
          <w:spacing w:val="-2"/>
          <w:sz w:val="18"/>
        </w:rPr>
        <w:t>9</w:t>
      </w:r>
      <w:r>
        <w:rPr>
          <w:spacing w:val="1"/>
          <w:sz w:val="18"/>
        </w:rPr>
        <w:t>4</w:t>
      </w:r>
      <w:r>
        <w:rPr>
          <w:spacing w:val="-2"/>
          <w:sz w:val="18"/>
        </w:rPr>
        <w:t>-</w:t>
      </w:r>
      <w:r>
        <w:rPr>
          <w:spacing w:val="1"/>
          <w:sz w:val="18"/>
        </w:rPr>
        <w:t>2</w:t>
      </w:r>
      <w:r>
        <w:rPr>
          <w:spacing w:val="-2"/>
          <w:sz w:val="18"/>
        </w:rPr>
        <w:t>0</w:t>
      </w:r>
      <w:r>
        <w:rPr>
          <w:spacing w:val="1"/>
          <w:sz w:val="18"/>
        </w:rPr>
        <w:t>1</w:t>
      </w:r>
      <w:r>
        <w:rPr>
          <w:spacing w:val="-2"/>
          <w:sz w:val="18"/>
        </w:rPr>
        <w:t>3</w:t>
      </w:r>
      <w:r>
        <w:rPr>
          <w:sz w:val="18"/>
        </w:rPr>
        <w:t>，</w:t>
      </w:r>
      <w:r>
        <w:rPr>
          <w:spacing w:val="1"/>
          <w:sz w:val="18"/>
        </w:rPr>
        <w:t>3</w:t>
      </w:r>
      <w:r>
        <w:rPr>
          <w:spacing w:val="-2"/>
          <w:sz w:val="18"/>
        </w:rPr>
        <w:t>.</w:t>
      </w:r>
      <w:r>
        <w:rPr>
          <w:spacing w:val="1"/>
          <w:sz w:val="18"/>
        </w:rPr>
        <w:t>5</w:t>
      </w:r>
      <w:r>
        <w:rPr>
          <w:spacing w:val="-2"/>
          <w:sz w:val="18"/>
        </w:rPr>
        <w:t>.</w:t>
      </w:r>
      <w:r>
        <w:rPr>
          <w:spacing w:val="1"/>
          <w:sz w:val="18"/>
        </w:rPr>
        <w:t>1</w:t>
      </w:r>
      <w:r>
        <w:rPr>
          <w:spacing w:val="-2"/>
          <w:sz w:val="18"/>
        </w:rPr>
        <w:t>.3</w:t>
      </w:r>
      <w:r>
        <w:rPr>
          <w:sz w:val="18"/>
        </w:rPr>
        <w:t>）和“后果”（见</w:t>
      </w:r>
      <w:r>
        <w:rPr>
          <w:spacing w:val="1"/>
          <w:sz w:val="18"/>
        </w:rPr>
        <w:t>G</w:t>
      </w:r>
      <w:r>
        <w:rPr>
          <w:spacing w:val="-2"/>
          <w:sz w:val="18"/>
        </w:rPr>
        <w:t>B</w:t>
      </w:r>
      <w:r>
        <w:rPr>
          <w:spacing w:val="1"/>
          <w:sz w:val="18"/>
        </w:rPr>
        <w:t>/</w:t>
      </w:r>
      <w:r>
        <w:rPr>
          <w:sz w:val="18"/>
        </w:rPr>
        <w:t>T </w:t>
      </w:r>
      <w:r>
        <w:rPr>
          <w:spacing w:val="1"/>
          <w:sz w:val="18"/>
        </w:rPr>
        <w:t>2</w:t>
      </w:r>
      <w:r>
        <w:rPr>
          <w:spacing w:val="-2"/>
          <w:sz w:val="18"/>
        </w:rPr>
        <w:t>3</w:t>
      </w:r>
      <w:r>
        <w:rPr>
          <w:spacing w:val="1"/>
          <w:sz w:val="18"/>
        </w:rPr>
        <w:t>6</w:t>
      </w:r>
      <w:r>
        <w:rPr>
          <w:spacing w:val="-2"/>
          <w:sz w:val="18"/>
        </w:rPr>
        <w:t>9</w:t>
      </w:r>
      <w:r>
        <w:rPr>
          <w:spacing w:val="1"/>
          <w:sz w:val="18"/>
        </w:rPr>
        <w:t>4</w:t>
      </w:r>
      <w:r>
        <w:rPr>
          <w:spacing w:val="-2"/>
          <w:sz w:val="18"/>
        </w:rPr>
        <w:t>-</w:t>
      </w:r>
      <w:r>
        <w:rPr>
          <w:spacing w:val="1"/>
          <w:sz w:val="18"/>
        </w:rPr>
        <w:t>2</w:t>
      </w:r>
      <w:r>
        <w:rPr>
          <w:spacing w:val="-2"/>
          <w:sz w:val="18"/>
        </w:rPr>
        <w:t>0</w:t>
      </w:r>
      <w:r>
        <w:rPr>
          <w:spacing w:val="1"/>
          <w:sz w:val="18"/>
        </w:rPr>
        <w:t>1</w:t>
      </w:r>
      <w:r>
        <w:rPr>
          <w:spacing w:val="-2"/>
          <w:sz w:val="18"/>
        </w:rPr>
        <w:t>3</w:t>
      </w:r>
      <w:r>
        <w:rPr>
          <w:sz w:val="18"/>
        </w:rPr>
        <w:t>，</w:t>
      </w:r>
      <w:r>
        <w:rPr>
          <w:spacing w:val="1"/>
          <w:sz w:val="18"/>
        </w:rPr>
        <w:t>3</w:t>
      </w:r>
      <w:r>
        <w:rPr>
          <w:spacing w:val="-2"/>
          <w:sz w:val="18"/>
        </w:rPr>
        <w:t>.</w:t>
      </w:r>
      <w:r>
        <w:rPr>
          <w:spacing w:val="1"/>
          <w:sz w:val="18"/>
        </w:rPr>
        <w:t>6.</w:t>
      </w:r>
      <w:r>
        <w:rPr>
          <w:spacing w:val="-2"/>
          <w:sz w:val="18"/>
        </w:rPr>
        <w:t>1</w:t>
      </w:r>
      <w:r>
        <w:rPr>
          <w:spacing w:val="1"/>
          <w:sz w:val="18"/>
        </w:rPr>
        <w:t>.</w:t>
      </w:r>
      <w:r>
        <w:rPr>
          <w:spacing w:val="-2"/>
          <w:sz w:val="18"/>
        </w:rPr>
        <w:t>3</w:t>
      </w:r>
      <w:r>
        <w:rPr>
          <w:spacing w:val="-92"/>
          <w:sz w:val="18"/>
        </w:rPr>
        <w:t>）</w:t>
      </w:r>
      <w:r>
        <w:rPr>
          <w:sz w:val="18"/>
        </w:rPr>
        <w:t>，或两者的组合来描述其特性。</w:t>
      </w:r>
    </w:p>
    <w:p>
      <w:pPr>
        <w:spacing w:line="324" w:lineRule="auto" w:before="1"/>
        <w:ind w:left="1128" w:right="506" w:hanging="428"/>
        <w:jc w:val="left"/>
        <w:rPr>
          <w:sz w:val="18"/>
        </w:rPr>
      </w:pPr>
      <w:r>
        <w:rPr>
          <w:sz w:val="18"/>
        </w:rPr>
        <w:t>注4：通常，风险以某事件（包括情况的变化）的后果及其发生的“可能性”（见GB/T 23694-2013，3.6.1.1） 的组合来表述。</w:t>
      </w:r>
    </w:p>
    <w:p>
      <w:pPr>
        <w:spacing w:line="324" w:lineRule="auto" w:before="1"/>
        <w:ind w:left="1128" w:right="408" w:hanging="428"/>
        <w:jc w:val="left"/>
        <w:rPr>
          <w:sz w:val="18"/>
        </w:rPr>
      </w:pPr>
      <w:r>
        <w:rPr>
          <w:sz w:val="18"/>
        </w:rPr>
        <w:t>注5：在本标准中，使用术语“风险和机遇”之处，意指</w:t>
      </w:r>
      <w:r>
        <w:rPr>
          <w:rFonts w:ascii="黑体" w:hAnsi="黑体" w:eastAsia="黑体" w:hint="eastAsia"/>
          <w:sz w:val="18"/>
        </w:rPr>
        <w:t>职业健康安全风险</w:t>
      </w:r>
      <w:r>
        <w:rPr>
          <w:sz w:val="18"/>
        </w:rPr>
        <w:t>（3.21）、</w:t>
      </w:r>
      <w:r>
        <w:rPr>
          <w:rFonts w:ascii="黑体" w:hAnsi="黑体" w:eastAsia="黑体" w:hint="eastAsia"/>
          <w:sz w:val="18"/>
        </w:rPr>
        <w:t>职业健康安全机遇</w:t>
      </w:r>
      <w:r>
        <w:rPr>
          <w:sz w:val="18"/>
        </w:rPr>
        <w:t>（3.22） 以及管理体系的其他风险和其他机遇。</w:t>
      </w:r>
    </w:p>
    <w:p>
      <w:pPr>
        <w:spacing w:line="324" w:lineRule="auto" w:before="2"/>
        <w:ind w:left="1128" w:right="504" w:hanging="428"/>
        <w:jc w:val="left"/>
        <w:rPr>
          <w:sz w:val="18"/>
        </w:rPr>
      </w:pPr>
      <w:r>
        <w:rPr>
          <w:sz w:val="18"/>
        </w:rPr>
        <w:t>注6：该术语和定义是《“ISO/IEC导则 第1部分”的ISO补充合并本》附录SL所给出的ISO管理体系标准的通用术语和核心定义之一。为了澄清本标准内所使用的术语“风险和机遇”，在此增加了注5。</w:t>
      </w:r>
    </w:p>
    <w:p>
      <w:pPr>
        <w:pStyle w:val="BodyText"/>
        <w:spacing w:line="250" w:lineRule="exact" w:before="0"/>
        <w:ind w:left="278"/>
        <w:rPr>
          <w:rFonts w:ascii="黑体"/>
        </w:rPr>
      </w:pPr>
      <w:r>
        <w:rPr>
          <w:rFonts w:ascii="黑体"/>
        </w:rPr>
        <w:t>3.21</w:t>
      </w:r>
    </w:p>
    <w:p>
      <w:pPr>
        <w:pStyle w:val="BodyText"/>
        <w:ind w:left="700"/>
        <w:rPr>
          <w:rFonts w:ascii="Arial" w:eastAsia="Arial"/>
        </w:rPr>
      </w:pPr>
      <w:bookmarkStart w:name="职业健康安全风险 occupational health and safety " w:id="40"/>
      <w:bookmarkEnd w:id="40"/>
      <w:r>
        <w:rPr/>
      </w:r>
      <w:r>
        <w:rPr>
          <w:rFonts w:ascii="黑体" w:eastAsia="黑体" w:hint="eastAsia"/>
        </w:rPr>
        <w:t>职业健康安全风险 </w:t>
      </w:r>
      <w:r>
        <w:rPr>
          <w:rFonts w:ascii="Arial" w:eastAsia="Arial"/>
        </w:rPr>
        <w:t>occupational health and safety risk</w:t>
      </w:r>
    </w:p>
    <w:p>
      <w:pPr>
        <w:pStyle w:val="BodyText"/>
        <w:ind w:left="700"/>
        <w:rPr>
          <w:rFonts w:ascii="Arial" w:eastAsia="Arial"/>
        </w:rPr>
      </w:pPr>
      <w:bookmarkStart w:name="职业健康安全风险 OH&amp;S risk" w:id="41"/>
      <w:bookmarkEnd w:id="41"/>
      <w:r>
        <w:rPr/>
      </w:r>
      <w:r>
        <w:rPr>
          <w:rFonts w:ascii="黑体" w:eastAsia="黑体" w:hint="eastAsia"/>
        </w:rPr>
        <w:t>职业健康安全风险 </w:t>
      </w:r>
      <w:r>
        <w:rPr>
          <w:rFonts w:ascii="Arial" w:eastAsia="Arial"/>
        </w:rPr>
        <w:t>OH&amp;S risk</w:t>
      </w:r>
    </w:p>
    <w:p>
      <w:pPr>
        <w:pStyle w:val="BodyText"/>
        <w:spacing w:line="278" w:lineRule="auto"/>
        <w:ind w:left="278" w:right="403" w:firstLine="420"/>
      </w:pPr>
      <w:r>
        <w:rPr>
          <w:w w:val="95"/>
        </w:rPr>
        <w:t>与工作相关的危险事件或暴露发生的可能性与由危险事件或暴露而导致的</w:t>
      </w:r>
      <w:r>
        <w:rPr>
          <w:rFonts w:ascii="黑体" w:eastAsia="黑体" w:hint="eastAsia"/>
          <w:spacing w:val="-15"/>
          <w:w w:val="95"/>
        </w:rPr>
        <w:t>伤害和健康损害</w:t>
      </w:r>
      <w:r>
        <w:rPr>
          <w:w w:val="95"/>
        </w:rPr>
        <w:t>（3.18）   </w:t>
      </w:r>
      <w:r>
        <w:rPr/>
        <w:t>的严重性的组合。</w:t>
      </w:r>
    </w:p>
    <w:p>
      <w:pPr>
        <w:pStyle w:val="BodyText"/>
        <w:spacing w:line="269" w:lineRule="exact" w:before="0"/>
        <w:ind w:left="278"/>
        <w:rPr>
          <w:rFonts w:ascii="黑体"/>
        </w:rPr>
      </w:pPr>
      <w:r>
        <w:rPr>
          <w:rFonts w:ascii="黑体"/>
        </w:rPr>
        <w:t>3.22</w:t>
      </w:r>
    </w:p>
    <w:p>
      <w:pPr>
        <w:pStyle w:val="BodyText"/>
        <w:spacing w:before="42"/>
        <w:ind w:left="700"/>
        <w:rPr>
          <w:rFonts w:ascii="Arial" w:eastAsia="Arial"/>
        </w:rPr>
      </w:pPr>
      <w:bookmarkStart w:name="职业健康安全机遇 occupational health and safety " w:id="42"/>
      <w:bookmarkEnd w:id="42"/>
      <w:r>
        <w:rPr/>
      </w:r>
      <w:r>
        <w:rPr>
          <w:rFonts w:ascii="黑体" w:eastAsia="黑体" w:hint="eastAsia"/>
        </w:rPr>
        <w:t>职业健康安全机遇 </w:t>
      </w:r>
      <w:r>
        <w:rPr>
          <w:rFonts w:ascii="Arial" w:eastAsia="Arial"/>
        </w:rPr>
        <w:t>occupational health and safety opportunity</w:t>
      </w:r>
    </w:p>
    <w:p>
      <w:pPr>
        <w:pStyle w:val="BodyText"/>
        <w:ind w:left="700"/>
        <w:rPr>
          <w:rFonts w:ascii="Arial" w:eastAsia="Arial"/>
        </w:rPr>
      </w:pPr>
      <w:bookmarkStart w:name="职业健康安全机遇 OH&amp;S opportunity" w:id="43"/>
      <w:bookmarkEnd w:id="43"/>
      <w:r>
        <w:rPr/>
      </w:r>
      <w:r>
        <w:rPr>
          <w:rFonts w:ascii="黑体" w:eastAsia="黑体" w:hint="eastAsia"/>
        </w:rPr>
        <w:t>职业健康安全机遇 </w:t>
      </w:r>
      <w:r>
        <w:rPr>
          <w:rFonts w:ascii="Arial" w:eastAsia="Arial"/>
        </w:rPr>
        <w:t>OH&amp;S opportunity</w:t>
      </w:r>
    </w:p>
    <w:p>
      <w:pPr>
        <w:pStyle w:val="BodyText"/>
        <w:ind w:left="698"/>
      </w:pPr>
      <w:r>
        <w:rPr/>
        <w:t>一种或多种可能导致</w:t>
      </w:r>
      <w:r>
        <w:rPr>
          <w:rFonts w:ascii="黑体" w:eastAsia="黑体" w:hint="eastAsia"/>
        </w:rPr>
        <w:t>职业健康安全绩效</w:t>
      </w:r>
      <w:r>
        <w:rPr/>
        <w:t>（3.28）改进的情形。</w:t>
      </w:r>
    </w:p>
    <w:p>
      <w:pPr>
        <w:pStyle w:val="BodyText"/>
        <w:ind w:left="278"/>
        <w:rPr>
          <w:rFonts w:ascii="黑体"/>
        </w:rPr>
      </w:pPr>
      <w:r>
        <w:rPr>
          <w:rFonts w:ascii="黑体"/>
        </w:rPr>
        <w:t>3.23</w:t>
      </w:r>
    </w:p>
    <w:p>
      <w:pPr>
        <w:pStyle w:val="BodyText"/>
        <w:ind w:left="700"/>
        <w:rPr>
          <w:rFonts w:ascii="Arial" w:eastAsia="Arial"/>
        </w:rPr>
      </w:pPr>
      <w:bookmarkStart w:name="能力 competence" w:id="44"/>
      <w:bookmarkEnd w:id="44"/>
      <w:r>
        <w:rPr/>
      </w:r>
      <w:r>
        <w:rPr>
          <w:rFonts w:ascii="黑体" w:eastAsia="黑体" w:hint="eastAsia"/>
        </w:rPr>
        <w:t>能力 </w:t>
      </w:r>
      <w:r>
        <w:rPr>
          <w:rFonts w:ascii="Arial" w:eastAsia="Arial"/>
        </w:rPr>
        <w:t>competence</w:t>
      </w:r>
    </w:p>
    <w:p>
      <w:pPr>
        <w:pStyle w:val="BodyText"/>
        <w:ind w:left="698"/>
      </w:pPr>
      <w:r>
        <w:rPr/>
        <w:t>运用知识和技能实现预期结果的本领。</w:t>
      </w:r>
    </w:p>
    <w:p>
      <w:pPr>
        <w:spacing w:line="324" w:lineRule="auto" w:before="63"/>
        <w:ind w:left="986" w:right="454" w:hanging="348"/>
        <w:jc w:val="left"/>
        <w:rPr>
          <w:sz w:val="18"/>
        </w:rPr>
      </w:pPr>
      <w:r>
        <w:rPr>
          <w:sz w:val="18"/>
        </w:rPr>
        <w:t>注：该术语和定义是《“ISO/IEC导则 第1部分”的ISO补充合并本》附录SL所给出的ISO管理体系标准的通用术语和核心定义之一。</w:t>
      </w:r>
    </w:p>
    <w:p>
      <w:pPr>
        <w:pStyle w:val="BodyText"/>
        <w:spacing w:line="251" w:lineRule="exact" w:before="0"/>
        <w:ind w:left="278"/>
        <w:rPr>
          <w:rFonts w:ascii="黑体"/>
        </w:rPr>
      </w:pPr>
      <w:r>
        <w:rPr>
          <w:rFonts w:ascii="黑体"/>
        </w:rPr>
        <w:t>3.24</w:t>
      </w:r>
    </w:p>
    <w:p>
      <w:pPr>
        <w:spacing w:after="0" w:line="251" w:lineRule="exact"/>
        <w:rPr>
          <w:rFonts w:ascii="黑体"/>
        </w:rPr>
        <w:sectPr>
          <w:pgSz w:w="11910" w:h="16840"/>
          <w:pgMar w:header="1442" w:footer="850" w:top="1660" w:bottom="1040" w:left="1140" w:right="740"/>
        </w:sectPr>
      </w:pPr>
    </w:p>
    <w:p>
      <w:pPr>
        <w:pStyle w:val="BodyText"/>
        <w:spacing w:before="157"/>
        <w:ind w:left="700"/>
        <w:rPr>
          <w:rFonts w:ascii="Arial" w:eastAsia="Arial"/>
        </w:rPr>
      </w:pPr>
      <w:bookmarkStart w:name="文件化信息 documented information" w:id="45"/>
      <w:bookmarkEnd w:id="45"/>
      <w:r>
        <w:rPr/>
      </w:r>
      <w:r>
        <w:rPr>
          <w:rFonts w:ascii="黑体" w:eastAsia="黑体" w:hint="eastAsia"/>
        </w:rPr>
        <w:t>文件化信息 </w:t>
      </w:r>
      <w:r>
        <w:rPr>
          <w:rFonts w:ascii="Arial" w:eastAsia="Arial"/>
        </w:rPr>
        <w:t>documented information</w:t>
      </w:r>
    </w:p>
    <w:p>
      <w:pPr>
        <w:pStyle w:val="BodyText"/>
        <w:ind w:left="698"/>
      </w:pPr>
      <w:r>
        <w:rPr>
          <w:rFonts w:ascii="黑体" w:eastAsia="黑体" w:hint="eastAsia"/>
        </w:rPr>
        <w:t>组织</w:t>
      </w:r>
      <w:r>
        <w:rPr/>
        <w:t>（3.1）需要控制并保持的信息及其载体。</w:t>
      </w:r>
    </w:p>
    <w:p>
      <w:pPr>
        <w:spacing w:line="324" w:lineRule="auto" w:before="64"/>
        <w:ind w:left="700" w:right="4194" w:firstLine="0"/>
        <w:jc w:val="left"/>
        <w:rPr>
          <w:sz w:val="18"/>
        </w:rPr>
      </w:pPr>
      <w:r>
        <w:rPr>
          <w:sz w:val="18"/>
        </w:rPr>
        <w:t>注1：文件化信息可以任何形式和载体存在，并可来自任何来源。注2：文件化信息可涉及：</w:t>
      </w:r>
    </w:p>
    <w:p>
      <w:pPr>
        <w:spacing w:line="324" w:lineRule="auto" w:before="1"/>
        <w:ind w:left="1130" w:right="5010" w:firstLine="0"/>
        <w:jc w:val="left"/>
        <w:rPr>
          <w:sz w:val="18"/>
        </w:rPr>
      </w:pPr>
      <w:r>
        <w:rPr>
          <w:sz w:val="18"/>
        </w:rPr>
        <w:t>a）</w:t>
      </w:r>
      <w:r>
        <w:rPr>
          <w:rFonts w:ascii="黑体" w:eastAsia="黑体" w:hint="eastAsia"/>
          <w:sz w:val="18"/>
        </w:rPr>
        <w:t>管理体系</w:t>
      </w:r>
      <w:r>
        <w:rPr>
          <w:sz w:val="18"/>
        </w:rPr>
        <w:t>（3.10），包括相关</w:t>
      </w:r>
      <w:r>
        <w:rPr>
          <w:rFonts w:ascii="黑体" w:eastAsia="黑体" w:hint="eastAsia"/>
          <w:sz w:val="18"/>
        </w:rPr>
        <w:t>过程</w:t>
      </w:r>
      <w:r>
        <w:rPr>
          <w:sz w:val="18"/>
        </w:rPr>
        <w:t>（3.25）； b）为组织运行而创建的信息（文件）；</w:t>
      </w:r>
    </w:p>
    <w:p>
      <w:pPr>
        <w:spacing w:before="1"/>
        <w:ind w:left="1130" w:right="0" w:firstLine="0"/>
        <w:jc w:val="left"/>
        <w:rPr>
          <w:sz w:val="18"/>
        </w:rPr>
      </w:pPr>
      <w:r>
        <w:rPr>
          <w:sz w:val="18"/>
        </w:rPr>
        <w:t>c）结果实现的证据（记录）。</w:t>
      </w:r>
    </w:p>
    <w:p>
      <w:pPr>
        <w:spacing w:line="324" w:lineRule="auto" w:before="82"/>
        <w:ind w:left="1128" w:right="504" w:hanging="428"/>
        <w:jc w:val="left"/>
        <w:rPr>
          <w:sz w:val="18"/>
        </w:rPr>
      </w:pPr>
      <w:r>
        <w:rPr>
          <w:sz w:val="18"/>
        </w:rPr>
        <w:t>注3：该术语和定义是《“ISO/IEC导则 第1部分”的ISO补充合并本》附录SL所给出的ISO管理体系标准的通用术语和核心定义之一。</w:t>
      </w:r>
    </w:p>
    <w:p>
      <w:pPr>
        <w:pStyle w:val="BodyText"/>
        <w:spacing w:line="250" w:lineRule="exact" w:before="0"/>
        <w:ind w:left="278"/>
        <w:rPr>
          <w:rFonts w:ascii="黑体"/>
        </w:rPr>
      </w:pPr>
      <w:r>
        <w:rPr>
          <w:rFonts w:ascii="黑体"/>
        </w:rPr>
        <w:t>3.25</w:t>
      </w:r>
    </w:p>
    <w:p>
      <w:pPr>
        <w:pStyle w:val="BodyText"/>
        <w:ind w:left="700"/>
        <w:rPr>
          <w:rFonts w:ascii="Arial" w:eastAsia="Arial"/>
        </w:rPr>
      </w:pPr>
      <w:bookmarkStart w:name="过程 process" w:id="46"/>
      <w:bookmarkEnd w:id="46"/>
      <w:r>
        <w:rPr/>
      </w:r>
      <w:r>
        <w:rPr>
          <w:rFonts w:ascii="黑体" w:eastAsia="黑体" w:hint="eastAsia"/>
        </w:rPr>
        <w:t>过程 </w:t>
      </w:r>
      <w:r>
        <w:rPr>
          <w:rFonts w:ascii="Arial" w:eastAsia="Arial"/>
        </w:rPr>
        <w:t>process</w:t>
      </w:r>
    </w:p>
    <w:p>
      <w:pPr>
        <w:pStyle w:val="BodyText"/>
        <w:ind w:left="698"/>
      </w:pPr>
      <w:r>
        <w:rPr/>
        <w:t>将输入转化为输出的一系列相互关联或相互作用的活动。</w:t>
      </w:r>
    </w:p>
    <w:p>
      <w:pPr>
        <w:spacing w:line="324" w:lineRule="auto" w:before="63"/>
        <w:ind w:left="1128" w:right="504" w:hanging="428"/>
        <w:jc w:val="left"/>
        <w:rPr>
          <w:sz w:val="18"/>
        </w:rPr>
      </w:pPr>
      <w:r>
        <w:rPr>
          <w:sz w:val="18"/>
        </w:rPr>
        <w:t>注： 该术语和定义是《“ISO/IEC导则 第1部分”的ISO补充合并本》附录SL所给出的ISO管理体系标准的通用术语和核心定义之一。</w:t>
      </w:r>
    </w:p>
    <w:p>
      <w:pPr>
        <w:pStyle w:val="BodyText"/>
        <w:spacing w:line="250" w:lineRule="exact" w:before="0"/>
        <w:ind w:left="278"/>
        <w:rPr>
          <w:rFonts w:ascii="黑体"/>
        </w:rPr>
      </w:pPr>
      <w:r>
        <w:rPr>
          <w:rFonts w:ascii="黑体"/>
        </w:rPr>
        <w:t>3.26</w:t>
      </w:r>
    </w:p>
    <w:p>
      <w:pPr>
        <w:pStyle w:val="BodyText"/>
        <w:ind w:left="700"/>
        <w:rPr>
          <w:rFonts w:ascii="Arial" w:eastAsia="Arial"/>
        </w:rPr>
      </w:pPr>
      <w:bookmarkStart w:name="程序 procedure" w:id="47"/>
      <w:bookmarkEnd w:id="47"/>
      <w:r>
        <w:rPr/>
      </w:r>
      <w:r>
        <w:rPr>
          <w:rFonts w:ascii="黑体" w:eastAsia="黑体" w:hint="eastAsia"/>
        </w:rPr>
        <w:t>程序 </w:t>
      </w:r>
      <w:r>
        <w:rPr>
          <w:rFonts w:ascii="Arial" w:eastAsia="Arial"/>
        </w:rPr>
        <w:t>procedure</w:t>
      </w:r>
    </w:p>
    <w:p>
      <w:pPr>
        <w:pStyle w:val="BodyText"/>
        <w:ind w:left="698"/>
      </w:pPr>
      <w:r>
        <w:rPr/>
        <w:t>为执行某活动或</w:t>
      </w:r>
      <w:r>
        <w:rPr>
          <w:rFonts w:ascii="黑体" w:eastAsia="黑体" w:hint="eastAsia"/>
        </w:rPr>
        <w:t>过程</w:t>
      </w:r>
      <w:r>
        <w:rPr/>
        <w:t>（3.25）所规定的途径。</w:t>
      </w:r>
    </w:p>
    <w:p>
      <w:pPr>
        <w:spacing w:before="63"/>
        <w:ind w:left="700" w:right="0" w:firstLine="0"/>
        <w:jc w:val="left"/>
        <w:rPr>
          <w:sz w:val="18"/>
        </w:rPr>
      </w:pPr>
      <w:r>
        <w:rPr>
          <w:sz w:val="18"/>
        </w:rPr>
        <w:t>注：程序可以文件化或不文件化。</w:t>
      </w:r>
    </w:p>
    <w:p>
      <w:pPr>
        <w:spacing w:before="81"/>
        <w:ind w:left="700" w:right="0" w:firstLine="0"/>
        <w:jc w:val="left"/>
        <w:rPr>
          <w:sz w:val="18"/>
        </w:rPr>
      </w:pPr>
      <w:r>
        <w:rPr>
          <w:sz w:val="18"/>
        </w:rPr>
        <w:t>[GB/T 19000-2016,3.4.5，“注”被改写]</w:t>
      </w:r>
    </w:p>
    <w:p>
      <w:pPr>
        <w:pStyle w:val="BodyText"/>
        <w:spacing w:before="61"/>
        <w:ind w:left="278"/>
        <w:rPr>
          <w:rFonts w:ascii="黑体"/>
        </w:rPr>
      </w:pPr>
      <w:r>
        <w:rPr>
          <w:rFonts w:ascii="黑体"/>
        </w:rPr>
        <w:t>3.27</w:t>
      </w:r>
    </w:p>
    <w:p>
      <w:pPr>
        <w:pStyle w:val="BodyText"/>
        <w:ind w:left="700"/>
        <w:rPr>
          <w:rFonts w:ascii="Arial" w:eastAsia="Arial"/>
        </w:rPr>
      </w:pPr>
      <w:bookmarkStart w:name="绩效 performance" w:id="48"/>
      <w:bookmarkEnd w:id="48"/>
      <w:r>
        <w:rPr/>
      </w:r>
      <w:r>
        <w:rPr>
          <w:rFonts w:ascii="黑体" w:eastAsia="黑体" w:hint="eastAsia"/>
        </w:rPr>
        <w:t>绩效 </w:t>
      </w:r>
      <w:r>
        <w:rPr>
          <w:rFonts w:ascii="Arial" w:eastAsia="Arial"/>
        </w:rPr>
        <w:t>performance</w:t>
      </w:r>
    </w:p>
    <w:p>
      <w:pPr>
        <w:pStyle w:val="BodyText"/>
        <w:ind w:left="698"/>
      </w:pPr>
      <w:r>
        <w:rPr/>
        <w:t>可测量的结果。</w:t>
      </w:r>
    </w:p>
    <w:p>
      <w:pPr>
        <w:spacing w:before="63"/>
        <w:ind w:left="700" w:right="0" w:firstLine="0"/>
        <w:jc w:val="left"/>
        <w:rPr>
          <w:sz w:val="18"/>
        </w:rPr>
      </w:pPr>
      <w:r>
        <w:rPr>
          <w:sz w:val="18"/>
        </w:rPr>
        <w:t>注1：绩效可能涉及定量或定性的发现。结果可由定量或定性的方法来确定或评价。</w:t>
      </w:r>
    </w:p>
    <w:p>
      <w:pPr>
        <w:spacing w:before="82"/>
        <w:ind w:left="700" w:right="0" w:firstLine="0"/>
        <w:jc w:val="left"/>
        <w:rPr>
          <w:sz w:val="18"/>
        </w:rPr>
      </w:pPr>
      <w:r>
        <w:rPr>
          <w:sz w:val="18"/>
        </w:rPr>
        <w:t>注2：绩效可能涉及活动、</w:t>
      </w:r>
      <w:r>
        <w:rPr>
          <w:rFonts w:ascii="黑体" w:eastAsia="黑体" w:hint="eastAsia"/>
          <w:sz w:val="18"/>
        </w:rPr>
        <w:t>过程</w:t>
      </w:r>
      <w:r>
        <w:rPr>
          <w:sz w:val="18"/>
        </w:rPr>
        <w:t>（3.25）、产品（包括服务）、体系或</w:t>
      </w:r>
      <w:r>
        <w:rPr>
          <w:rFonts w:ascii="黑体" w:eastAsia="黑体" w:hint="eastAsia"/>
          <w:sz w:val="18"/>
        </w:rPr>
        <w:t>组织</w:t>
      </w:r>
      <w:r>
        <w:rPr>
          <w:sz w:val="18"/>
        </w:rPr>
        <w:t>（3.1）的管理。</w:t>
      </w:r>
    </w:p>
    <w:p>
      <w:pPr>
        <w:spacing w:line="324" w:lineRule="auto" w:before="81"/>
        <w:ind w:left="1128" w:right="504" w:hanging="428"/>
        <w:jc w:val="left"/>
        <w:rPr>
          <w:sz w:val="18"/>
        </w:rPr>
      </w:pPr>
      <w:r>
        <w:rPr>
          <w:sz w:val="18"/>
        </w:rPr>
        <w:t>注3：该术语和定义是《“ISO/IEC导则 第1部分”的ISO补充合并本》附录SL所给出的ISO管理体系标准的通用术语和核心定义之一。为了澄清结果的确定和评价所采用的方法的类型，注1被改写。</w:t>
      </w:r>
    </w:p>
    <w:p>
      <w:pPr>
        <w:pStyle w:val="BodyText"/>
        <w:spacing w:line="251" w:lineRule="exact" w:before="0"/>
        <w:ind w:left="278"/>
        <w:rPr>
          <w:rFonts w:ascii="黑体"/>
        </w:rPr>
      </w:pPr>
      <w:r>
        <w:rPr>
          <w:rFonts w:ascii="黑体"/>
        </w:rPr>
        <w:t>3.28</w:t>
      </w:r>
    </w:p>
    <w:p>
      <w:pPr>
        <w:pStyle w:val="BodyText"/>
        <w:ind w:left="700"/>
        <w:rPr>
          <w:rFonts w:ascii="Arial" w:eastAsia="Arial"/>
        </w:rPr>
      </w:pPr>
      <w:bookmarkStart w:name="职业健康安全绩效 occupational health and safety " w:id="49"/>
      <w:bookmarkEnd w:id="49"/>
      <w:r>
        <w:rPr/>
      </w:r>
      <w:r>
        <w:rPr>
          <w:rFonts w:ascii="黑体" w:eastAsia="黑体" w:hint="eastAsia"/>
        </w:rPr>
        <w:t>职业健康安全绩效 </w:t>
      </w:r>
      <w:r>
        <w:rPr>
          <w:rFonts w:ascii="Arial" w:eastAsia="Arial"/>
        </w:rPr>
        <w:t>occupational health and safety performance</w:t>
      </w:r>
    </w:p>
    <w:p>
      <w:pPr>
        <w:pStyle w:val="BodyText"/>
        <w:ind w:left="700"/>
        <w:rPr>
          <w:rFonts w:ascii="Arial" w:eastAsia="Arial"/>
        </w:rPr>
      </w:pPr>
      <w:bookmarkStart w:name="职业健康安全绩效 OH&amp;S performance" w:id="50"/>
      <w:bookmarkEnd w:id="50"/>
      <w:r>
        <w:rPr/>
      </w:r>
      <w:r>
        <w:rPr>
          <w:rFonts w:ascii="黑体" w:eastAsia="黑体" w:hint="eastAsia"/>
        </w:rPr>
        <w:t>职业健康安全绩效 </w:t>
      </w:r>
      <w:r>
        <w:rPr>
          <w:rFonts w:ascii="Arial" w:eastAsia="Arial"/>
        </w:rPr>
        <w:t>OH&amp;S performance</w:t>
      </w:r>
    </w:p>
    <w:p>
      <w:pPr>
        <w:pStyle w:val="BodyText"/>
        <w:spacing w:line="278" w:lineRule="auto"/>
        <w:ind w:left="278" w:right="508" w:firstLine="420"/>
      </w:pPr>
      <w:r>
        <w:rPr>
          <w:w w:val="95"/>
        </w:rPr>
        <w:t>与防止对</w:t>
      </w:r>
      <w:r>
        <w:rPr>
          <w:rFonts w:ascii="黑体" w:eastAsia="黑体" w:hint="eastAsia"/>
          <w:w w:val="95"/>
        </w:rPr>
        <w:t>工作人员</w:t>
      </w:r>
      <w:r>
        <w:rPr>
          <w:w w:val="95"/>
        </w:rPr>
        <w:t>（3.3）的</w:t>
      </w:r>
      <w:r>
        <w:rPr>
          <w:rFonts w:ascii="黑体" w:eastAsia="黑体" w:hint="eastAsia"/>
          <w:w w:val="95"/>
        </w:rPr>
        <w:t>伤害和健康损害</w:t>
      </w:r>
      <w:r>
        <w:rPr>
          <w:w w:val="95"/>
        </w:rPr>
        <w:t>（3.18）以及提供健康安全的</w:t>
      </w:r>
      <w:r>
        <w:rPr>
          <w:rFonts w:ascii="黑体" w:eastAsia="黑体" w:hint="eastAsia"/>
          <w:w w:val="95"/>
        </w:rPr>
        <w:t>工作场所</w:t>
      </w:r>
      <w:r>
        <w:rPr>
          <w:w w:val="95"/>
        </w:rPr>
        <w:t>（3.6）的</w:t>
      </w:r>
      <w:r>
        <w:rPr>
          <w:rFonts w:ascii="黑体" w:eastAsia="黑体" w:hint="eastAsia"/>
          <w:w w:val="95"/>
        </w:rPr>
        <w:t>有   </w:t>
      </w:r>
      <w:r>
        <w:rPr>
          <w:rFonts w:ascii="黑体" w:eastAsia="黑体" w:hint="eastAsia"/>
        </w:rPr>
        <w:t>效性</w:t>
      </w:r>
      <w:r>
        <w:rPr/>
        <w:t>（3.13）相关的</w:t>
      </w:r>
      <w:r>
        <w:rPr>
          <w:rFonts w:ascii="黑体" w:eastAsia="黑体" w:hint="eastAsia"/>
        </w:rPr>
        <w:t>绩效</w:t>
      </w:r>
      <w:r>
        <w:rPr/>
        <w:t>（3.13）。</w:t>
      </w:r>
    </w:p>
    <w:p>
      <w:pPr>
        <w:pStyle w:val="BodyText"/>
        <w:spacing w:line="269" w:lineRule="exact" w:before="0"/>
        <w:ind w:left="278"/>
        <w:rPr>
          <w:rFonts w:ascii="黑体"/>
        </w:rPr>
      </w:pPr>
      <w:r>
        <w:rPr>
          <w:rFonts w:ascii="黑体"/>
        </w:rPr>
        <w:t>3.29</w:t>
      </w:r>
    </w:p>
    <w:p>
      <w:pPr>
        <w:pStyle w:val="BodyText"/>
        <w:spacing w:before="42"/>
        <w:ind w:left="700"/>
      </w:pPr>
      <w:bookmarkStart w:name="外包（动词） outsource（verb）" w:id="51"/>
      <w:bookmarkEnd w:id="51"/>
      <w:r>
        <w:rPr/>
      </w:r>
      <w:r>
        <w:rPr>
          <w:rFonts w:ascii="黑体" w:eastAsia="黑体" w:hint="eastAsia"/>
        </w:rPr>
        <w:t>外包</w:t>
      </w:r>
      <w:r>
        <w:rPr/>
        <w:t>（动词） </w:t>
      </w:r>
      <w:r>
        <w:rPr>
          <w:rFonts w:ascii="Arial" w:eastAsia="Arial"/>
        </w:rPr>
        <w:t>outsource</w:t>
      </w:r>
      <w:r>
        <w:rPr/>
        <w:t>（verb）</w:t>
      </w:r>
    </w:p>
    <w:p>
      <w:pPr>
        <w:pStyle w:val="BodyText"/>
        <w:ind w:left="698"/>
      </w:pPr>
      <w:r>
        <w:rPr/>
        <w:t>对外部</w:t>
      </w:r>
      <w:r>
        <w:rPr>
          <w:rFonts w:ascii="黑体" w:eastAsia="黑体" w:hint="eastAsia"/>
        </w:rPr>
        <w:t>组织</w:t>
      </w:r>
      <w:r>
        <w:rPr/>
        <w:t>（3.1）执行组织的部分职能或</w:t>
      </w:r>
      <w:r>
        <w:rPr>
          <w:rFonts w:ascii="黑体" w:eastAsia="黑体" w:hint="eastAsia"/>
        </w:rPr>
        <w:t>过程</w:t>
      </w:r>
      <w:r>
        <w:rPr/>
        <w:t>（3.25）做出安排。</w:t>
      </w:r>
    </w:p>
    <w:p>
      <w:pPr>
        <w:spacing w:before="64"/>
        <w:ind w:left="700" w:right="0" w:firstLine="0"/>
        <w:jc w:val="left"/>
        <w:rPr>
          <w:sz w:val="18"/>
        </w:rPr>
      </w:pPr>
      <w:r>
        <w:rPr>
          <w:sz w:val="18"/>
        </w:rPr>
        <w:t>注1：虽然被外包的职能或过程处于组织的</w:t>
      </w:r>
      <w:r>
        <w:rPr>
          <w:rFonts w:ascii="黑体" w:eastAsia="黑体" w:hint="eastAsia"/>
          <w:sz w:val="18"/>
        </w:rPr>
        <w:t>管理体系</w:t>
      </w:r>
      <w:r>
        <w:rPr>
          <w:sz w:val="18"/>
        </w:rPr>
        <w:t>（3.10）范围之内，但外部组织则处于范围之外。</w:t>
      </w:r>
    </w:p>
    <w:p>
      <w:pPr>
        <w:spacing w:line="324" w:lineRule="auto" w:before="81"/>
        <w:ind w:left="1128" w:right="504" w:hanging="428"/>
        <w:jc w:val="left"/>
        <w:rPr>
          <w:sz w:val="18"/>
        </w:rPr>
      </w:pPr>
      <w:r>
        <w:rPr>
          <w:sz w:val="18"/>
        </w:rPr>
        <w:t>注2：该术语和定义是《“ISO/IEC导则 第1部分”的ISO补充合并本》附录SL所给出的ISO管理体系标准的通用术语和核心定义之一。</w:t>
      </w:r>
    </w:p>
    <w:p>
      <w:pPr>
        <w:pStyle w:val="BodyText"/>
        <w:spacing w:line="250" w:lineRule="exact" w:before="0"/>
        <w:ind w:left="278"/>
        <w:rPr>
          <w:rFonts w:ascii="黑体"/>
        </w:rPr>
      </w:pPr>
      <w:r>
        <w:rPr>
          <w:rFonts w:ascii="黑体"/>
        </w:rPr>
        <w:t>3.30</w:t>
      </w:r>
    </w:p>
    <w:p>
      <w:pPr>
        <w:pStyle w:val="BodyText"/>
        <w:ind w:left="700"/>
        <w:rPr>
          <w:rFonts w:ascii="Arial" w:eastAsia="Arial"/>
        </w:rPr>
      </w:pPr>
      <w:bookmarkStart w:name="监视 monitoring" w:id="52"/>
      <w:bookmarkEnd w:id="52"/>
      <w:r>
        <w:rPr/>
      </w:r>
      <w:r>
        <w:rPr>
          <w:rFonts w:ascii="黑体" w:eastAsia="黑体" w:hint="eastAsia"/>
        </w:rPr>
        <w:t>监视 </w:t>
      </w:r>
      <w:r>
        <w:rPr>
          <w:rFonts w:ascii="Arial" w:eastAsia="Arial"/>
        </w:rPr>
        <w:t>monitoring</w:t>
      </w:r>
    </w:p>
    <w:p>
      <w:pPr>
        <w:pStyle w:val="BodyText"/>
        <w:ind w:left="698"/>
      </w:pPr>
      <w:r>
        <w:rPr/>
        <w:t>确定体系、</w:t>
      </w:r>
      <w:r>
        <w:rPr>
          <w:rFonts w:ascii="黑体" w:eastAsia="黑体" w:hint="eastAsia"/>
        </w:rPr>
        <w:t>过程</w:t>
      </w:r>
      <w:r>
        <w:rPr/>
        <w:t>（3.25）或活动的状态。</w:t>
      </w:r>
    </w:p>
    <w:p>
      <w:pPr>
        <w:spacing w:before="63"/>
        <w:ind w:left="700" w:right="0" w:firstLine="0"/>
        <w:jc w:val="left"/>
        <w:rPr>
          <w:sz w:val="18"/>
        </w:rPr>
      </w:pPr>
      <w:r>
        <w:rPr>
          <w:sz w:val="18"/>
        </w:rPr>
        <w:t>注1：为了确定状态，可能需要检查、监督或批判地观察。</w:t>
      </w:r>
    </w:p>
    <w:p>
      <w:pPr>
        <w:spacing w:line="324" w:lineRule="auto" w:before="81"/>
        <w:ind w:left="1128" w:right="504" w:hanging="428"/>
        <w:jc w:val="left"/>
        <w:rPr>
          <w:sz w:val="18"/>
        </w:rPr>
      </w:pPr>
      <w:r>
        <w:rPr>
          <w:sz w:val="18"/>
        </w:rPr>
        <w:t>注2：该术语和定义是《“ISO/IEC导则 第1部分”的ISO补充合并本》附录SL所给出的ISO管理体系标准的通用术语和核心定义之一。</w:t>
      </w:r>
    </w:p>
    <w:p>
      <w:pPr>
        <w:spacing w:after="0" w:line="324" w:lineRule="auto"/>
        <w:jc w:val="left"/>
        <w:rPr>
          <w:sz w:val="18"/>
        </w:rPr>
        <w:sectPr>
          <w:pgSz w:w="11910" w:h="16840"/>
          <w:pgMar w:header="1442" w:footer="850" w:top="1660" w:bottom="1040" w:left="1140" w:right="740"/>
        </w:sectPr>
      </w:pPr>
    </w:p>
    <w:p>
      <w:pPr>
        <w:pStyle w:val="BodyText"/>
        <w:spacing w:before="157"/>
        <w:ind w:left="278"/>
        <w:rPr>
          <w:rFonts w:ascii="黑体"/>
        </w:rPr>
      </w:pPr>
      <w:r>
        <w:rPr>
          <w:rFonts w:ascii="黑体"/>
        </w:rPr>
        <w:t>3.31</w:t>
      </w:r>
    </w:p>
    <w:p>
      <w:pPr>
        <w:pStyle w:val="BodyText"/>
        <w:ind w:left="700"/>
        <w:rPr>
          <w:rFonts w:ascii="Arial" w:eastAsia="Arial"/>
        </w:rPr>
      </w:pPr>
      <w:bookmarkStart w:name="测量 measurement" w:id="53"/>
      <w:bookmarkEnd w:id="53"/>
      <w:r>
        <w:rPr/>
      </w:r>
      <w:r>
        <w:rPr>
          <w:rFonts w:ascii="黑体" w:eastAsia="黑体" w:hint="eastAsia"/>
        </w:rPr>
        <w:t>测量 </w:t>
      </w:r>
      <w:r>
        <w:rPr>
          <w:rFonts w:ascii="Arial" w:eastAsia="Arial"/>
        </w:rPr>
        <w:t>measurement</w:t>
      </w:r>
    </w:p>
    <w:p>
      <w:pPr>
        <w:pStyle w:val="BodyText"/>
        <w:ind w:left="698"/>
      </w:pPr>
      <w:r>
        <w:rPr/>
        <w:t>确定值的</w:t>
      </w:r>
      <w:r>
        <w:rPr>
          <w:rFonts w:ascii="黑体" w:eastAsia="黑体" w:hint="eastAsia"/>
        </w:rPr>
        <w:t>过程</w:t>
      </w:r>
      <w:r>
        <w:rPr/>
        <w:t>（3.25）。</w:t>
      </w:r>
    </w:p>
    <w:p>
      <w:pPr>
        <w:spacing w:line="324" w:lineRule="auto" w:before="64"/>
        <w:ind w:left="1128" w:right="504" w:hanging="428"/>
        <w:jc w:val="left"/>
        <w:rPr>
          <w:sz w:val="18"/>
        </w:rPr>
      </w:pPr>
      <w:r>
        <w:rPr>
          <w:sz w:val="18"/>
        </w:rPr>
        <w:t>注： 该术语和定义是《“ISO/IEC导则 第1部分”的ISO补充合并本》附录SL所给出的ISO管理体系标准的通用术语和核心定义之一。</w:t>
      </w:r>
    </w:p>
    <w:p>
      <w:pPr>
        <w:pStyle w:val="BodyText"/>
        <w:spacing w:line="250" w:lineRule="exact" w:before="0"/>
        <w:ind w:left="278"/>
        <w:rPr>
          <w:rFonts w:ascii="黑体"/>
        </w:rPr>
      </w:pPr>
      <w:r>
        <w:rPr>
          <w:rFonts w:ascii="黑体"/>
        </w:rPr>
        <w:t>3.32</w:t>
      </w:r>
    </w:p>
    <w:p>
      <w:pPr>
        <w:pStyle w:val="BodyText"/>
        <w:ind w:left="700"/>
        <w:rPr>
          <w:rFonts w:ascii="Arial" w:eastAsia="Arial"/>
        </w:rPr>
      </w:pPr>
      <w:bookmarkStart w:name="审核 audit" w:id="54"/>
      <w:bookmarkEnd w:id="54"/>
      <w:r>
        <w:rPr/>
      </w:r>
      <w:r>
        <w:rPr>
          <w:rFonts w:ascii="黑体" w:eastAsia="黑体" w:hint="eastAsia"/>
        </w:rPr>
        <w:t>审核 </w:t>
      </w:r>
      <w:r>
        <w:rPr>
          <w:rFonts w:ascii="Arial" w:eastAsia="Arial"/>
        </w:rPr>
        <w:t>audit</w:t>
      </w:r>
    </w:p>
    <w:p>
      <w:pPr>
        <w:pStyle w:val="BodyText"/>
        <w:spacing w:line="278" w:lineRule="auto"/>
        <w:ind w:left="278" w:right="506" w:firstLine="420"/>
      </w:pPr>
      <w:r>
        <w:rPr>
          <w:w w:val="95"/>
        </w:rPr>
        <w:t>为获得审核证据并对其进行客观评价，以确定满足审核准则的程度所进行的系统的、独立的和文   </w:t>
      </w:r>
      <w:r>
        <w:rPr/>
        <w:t>件化的</w:t>
      </w:r>
      <w:r>
        <w:rPr>
          <w:rFonts w:ascii="黑体" w:eastAsia="黑体" w:hint="eastAsia"/>
        </w:rPr>
        <w:t>过程</w:t>
      </w:r>
      <w:r>
        <w:rPr/>
        <w:t>（3.25）。</w:t>
      </w:r>
    </w:p>
    <w:p>
      <w:pPr>
        <w:spacing w:line="324" w:lineRule="auto" w:before="20"/>
        <w:ind w:left="1128" w:right="506" w:hanging="428"/>
        <w:jc w:val="left"/>
        <w:rPr>
          <w:sz w:val="18"/>
        </w:rPr>
      </w:pPr>
      <w:r>
        <w:rPr>
          <w:sz w:val="18"/>
        </w:rPr>
        <w:t>注1：审核可以是内部（第一方）审核或外部（第二方或第三方）审核，也可以是一种结合（结合两个或多个领域）的审核。</w:t>
      </w:r>
    </w:p>
    <w:p>
      <w:pPr>
        <w:spacing w:line="324" w:lineRule="auto" w:before="1"/>
        <w:ind w:left="700" w:right="4284" w:firstLine="0"/>
        <w:jc w:val="left"/>
        <w:rPr>
          <w:sz w:val="18"/>
        </w:rPr>
      </w:pPr>
      <w:r>
        <w:rPr>
          <w:sz w:val="18"/>
        </w:rPr>
        <w:t>注2：内部审核由</w:t>
      </w:r>
      <w:r>
        <w:rPr>
          <w:rFonts w:ascii="黑体" w:hAnsi="黑体" w:eastAsia="黑体" w:hint="eastAsia"/>
          <w:sz w:val="18"/>
        </w:rPr>
        <w:t>组织</w:t>
      </w:r>
      <w:r>
        <w:rPr>
          <w:sz w:val="18"/>
        </w:rPr>
        <w:t>（3.1）自行实施或由外部方代表其实施。注3：“审核证据”和“审核准则”的定义见GB/T 19011。</w:t>
      </w:r>
    </w:p>
    <w:p>
      <w:pPr>
        <w:spacing w:line="324" w:lineRule="auto" w:before="1"/>
        <w:ind w:left="1128" w:right="504" w:hanging="428"/>
        <w:jc w:val="left"/>
        <w:rPr>
          <w:sz w:val="18"/>
        </w:rPr>
      </w:pPr>
      <w:r>
        <w:rPr>
          <w:sz w:val="18"/>
        </w:rPr>
        <w:t>注4：该术语和定义是《“ISO/IEC导则 第1部分”的ISO补充合并本》附录SL所给出的ISO管理体系标准的通用术语和核心定义之一。</w:t>
      </w:r>
    </w:p>
    <w:p>
      <w:pPr>
        <w:pStyle w:val="BodyText"/>
        <w:spacing w:line="251" w:lineRule="exact" w:before="0"/>
        <w:ind w:left="278"/>
        <w:rPr>
          <w:rFonts w:ascii="黑体"/>
        </w:rPr>
      </w:pPr>
      <w:r>
        <w:rPr>
          <w:rFonts w:ascii="黑体"/>
        </w:rPr>
        <w:t>3.33</w:t>
      </w:r>
    </w:p>
    <w:p>
      <w:pPr>
        <w:pStyle w:val="BodyText"/>
        <w:ind w:left="700"/>
        <w:rPr>
          <w:rFonts w:ascii="Arial" w:eastAsia="Arial"/>
        </w:rPr>
      </w:pPr>
      <w:bookmarkStart w:name="符合 conformity" w:id="55"/>
      <w:bookmarkEnd w:id="55"/>
      <w:r>
        <w:rPr/>
      </w:r>
      <w:r>
        <w:rPr>
          <w:rFonts w:ascii="黑体" w:eastAsia="黑体" w:hint="eastAsia"/>
        </w:rPr>
        <w:t>符合 </w:t>
      </w:r>
      <w:r>
        <w:rPr>
          <w:rFonts w:ascii="Arial" w:eastAsia="Arial"/>
        </w:rPr>
        <w:t>conformity</w:t>
      </w:r>
    </w:p>
    <w:p>
      <w:pPr>
        <w:pStyle w:val="BodyText"/>
        <w:ind w:left="698"/>
      </w:pPr>
      <w:r>
        <w:rPr/>
        <w:t>满足</w:t>
      </w:r>
      <w:r>
        <w:rPr>
          <w:rFonts w:ascii="黑体" w:eastAsia="黑体" w:hint="eastAsia"/>
        </w:rPr>
        <w:t>要求</w:t>
      </w:r>
      <w:r>
        <w:rPr/>
        <w:t>（3.8）。</w:t>
      </w:r>
    </w:p>
    <w:p>
      <w:pPr>
        <w:spacing w:line="324" w:lineRule="auto" w:before="63"/>
        <w:ind w:left="1128" w:right="504" w:hanging="428"/>
        <w:jc w:val="left"/>
        <w:rPr>
          <w:sz w:val="18"/>
        </w:rPr>
      </w:pPr>
      <w:r>
        <w:rPr>
          <w:sz w:val="18"/>
        </w:rPr>
        <w:t>注： 该术语和定义是《“ISO/IEC导则 第1部分”的ISO补充合并本》附录SL所给出的ISO管理体系标准的通用术语和核心定义之一。</w:t>
      </w:r>
    </w:p>
    <w:p>
      <w:pPr>
        <w:pStyle w:val="BodyText"/>
        <w:spacing w:line="250" w:lineRule="exact" w:before="0"/>
        <w:ind w:left="278"/>
        <w:rPr>
          <w:rFonts w:ascii="黑体"/>
        </w:rPr>
      </w:pPr>
      <w:r>
        <w:rPr>
          <w:rFonts w:ascii="黑体"/>
        </w:rPr>
        <w:t>3.34</w:t>
      </w:r>
    </w:p>
    <w:p>
      <w:pPr>
        <w:pStyle w:val="BodyText"/>
        <w:ind w:left="700"/>
        <w:rPr>
          <w:rFonts w:ascii="Arial" w:eastAsia="Arial"/>
        </w:rPr>
      </w:pPr>
      <w:bookmarkStart w:name="不符合 nonconformity" w:id="56"/>
      <w:bookmarkEnd w:id="56"/>
      <w:r>
        <w:rPr/>
      </w:r>
      <w:r>
        <w:rPr>
          <w:rFonts w:ascii="黑体" w:eastAsia="黑体" w:hint="eastAsia"/>
        </w:rPr>
        <w:t>不符合 </w:t>
      </w:r>
      <w:r>
        <w:rPr>
          <w:rFonts w:ascii="Arial" w:eastAsia="Arial"/>
        </w:rPr>
        <w:t>nonconformity</w:t>
      </w:r>
    </w:p>
    <w:p>
      <w:pPr>
        <w:pStyle w:val="BodyText"/>
        <w:ind w:left="698"/>
      </w:pPr>
      <w:r>
        <w:rPr/>
        <w:t>未满足</w:t>
      </w:r>
      <w:r>
        <w:rPr>
          <w:rFonts w:ascii="黑体" w:eastAsia="黑体" w:hint="eastAsia"/>
        </w:rPr>
        <w:t>要求</w:t>
      </w:r>
      <w:r>
        <w:rPr/>
        <w:t>（3.8）。</w:t>
      </w:r>
    </w:p>
    <w:p>
      <w:pPr>
        <w:spacing w:before="63"/>
        <w:ind w:left="700" w:right="0" w:firstLine="0"/>
        <w:jc w:val="left"/>
        <w:rPr>
          <w:sz w:val="18"/>
        </w:rPr>
      </w:pPr>
      <w:r>
        <w:rPr>
          <w:sz w:val="18"/>
        </w:rPr>
        <w:t>注1：不符合与本标准的要求和</w:t>
      </w:r>
      <w:r>
        <w:rPr>
          <w:rFonts w:ascii="黑体" w:eastAsia="黑体" w:hint="eastAsia"/>
          <w:sz w:val="18"/>
        </w:rPr>
        <w:t>组织</w:t>
      </w:r>
      <w:r>
        <w:rPr>
          <w:sz w:val="18"/>
        </w:rPr>
        <w:t>（3.1）自己确定的</w:t>
      </w:r>
      <w:r>
        <w:rPr>
          <w:rFonts w:ascii="黑体" w:eastAsia="黑体" w:hint="eastAsia"/>
          <w:sz w:val="18"/>
        </w:rPr>
        <w:t>职业健康安全管理体系</w:t>
      </w:r>
      <w:r>
        <w:rPr>
          <w:sz w:val="18"/>
        </w:rPr>
        <w:t>（3.11）附加的要求有关。</w:t>
      </w:r>
    </w:p>
    <w:p>
      <w:pPr>
        <w:spacing w:line="324" w:lineRule="auto" w:before="81"/>
        <w:ind w:left="1128" w:right="438" w:hanging="428"/>
        <w:jc w:val="left"/>
        <w:rPr>
          <w:sz w:val="18"/>
        </w:rPr>
      </w:pPr>
      <w:r>
        <w:rPr>
          <w:sz w:val="18"/>
        </w:rPr>
        <w:t>注2：该术语和定义是《“ISO/IEC导则 第1部分”的ISO补充合并本》附录SL所给出的ISO管理体系标准的通用术语和核心定义之一。为了澄清不符合与本标准的要求和组织自身的职业健康安全管理体系要求之间的关系， 增加了注1。</w:t>
      </w:r>
    </w:p>
    <w:p>
      <w:pPr>
        <w:pStyle w:val="BodyText"/>
        <w:spacing w:line="251" w:lineRule="exact" w:before="0"/>
        <w:ind w:left="278"/>
        <w:rPr>
          <w:rFonts w:ascii="黑体"/>
        </w:rPr>
      </w:pPr>
      <w:r>
        <w:rPr>
          <w:rFonts w:ascii="黑体"/>
        </w:rPr>
        <w:t>3.35</w:t>
      </w:r>
    </w:p>
    <w:p>
      <w:pPr>
        <w:pStyle w:val="BodyText"/>
        <w:ind w:left="700"/>
        <w:rPr>
          <w:rFonts w:ascii="Arial" w:eastAsia="Arial"/>
        </w:rPr>
      </w:pPr>
      <w:bookmarkStart w:name="事件incident" w:id="57"/>
      <w:bookmarkEnd w:id="57"/>
      <w:r>
        <w:rPr/>
      </w:r>
      <w:r>
        <w:rPr>
          <w:rFonts w:ascii="黑体" w:eastAsia="黑体" w:hint="eastAsia"/>
        </w:rPr>
        <w:t>事件 </w:t>
      </w:r>
      <w:r>
        <w:rPr>
          <w:rFonts w:ascii="Arial" w:eastAsia="Arial"/>
        </w:rPr>
        <w:t>incident</w:t>
      </w:r>
    </w:p>
    <w:p>
      <w:pPr>
        <w:pStyle w:val="BodyText"/>
        <w:ind w:left="698"/>
      </w:pPr>
      <w:r>
        <w:rPr/>
        <w:t>由工作引起的或在工作过程中发生的可能或已经导致</w:t>
      </w:r>
      <w:r>
        <w:rPr>
          <w:rFonts w:ascii="黑体" w:eastAsia="黑体" w:hint="eastAsia"/>
        </w:rPr>
        <w:t>伤害和健康损害</w:t>
      </w:r>
      <w:r>
        <w:rPr/>
        <w:t>（3.18）的情况。</w:t>
      </w:r>
    </w:p>
    <w:p>
      <w:pPr>
        <w:spacing w:before="63"/>
        <w:ind w:left="700" w:right="0" w:firstLine="0"/>
        <w:jc w:val="left"/>
        <w:rPr>
          <w:sz w:val="18"/>
        </w:rPr>
      </w:pPr>
      <w:r>
        <w:rPr>
          <w:sz w:val="18"/>
        </w:rPr>
        <w:t>注1：发生伤害和健康损害的事件有时被称为“事故”。</w:t>
      </w:r>
    </w:p>
    <w:p>
      <w:pPr>
        <w:spacing w:line="302" w:lineRule="auto" w:before="81"/>
        <w:ind w:left="1128" w:right="414" w:hanging="428"/>
        <w:jc w:val="left"/>
        <w:rPr>
          <w:sz w:val="18"/>
        </w:rPr>
      </w:pPr>
      <w:r>
        <w:rPr>
          <w:sz w:val="18"/>
        </w:rPr>
        <w:t>注</w:t>
      </w:r>
      <w:r>
        <w:rPr>
          <w:spacing w:val="-2"/>
          <w:sz w:val="18"/>
        </w:rPr>
        <w:t>2</w:t>
      </w:r>
      <w:r>
        <w:rPr>
          <w:spacing w:val="-4"/>
          <w:sz w:val="18"/>
        </w:rPr>
        <w:t>：未发生但有可能发生伤害和健康损害的事件在英文中称为 “</w:t>
      </w:r>
      <w:r>
        <w:rPr>
          <w:spacing w:val="1"/>
          <w:sz w:val="18"/>
        </w:rPr>
        <w:t>n</w:t>
      </w:r>
      <w:r>
        <w:rPr>
          <w:spacing w:val="-2"/>
          <w:sz w:val="18"/>
        </w:rPr>
        <w:t>e</w:t>
      </w:r>
      <w:r>
        <w:rPr>
          <w:spacing w:val="1"/>
          <w:sz w:val="18"/>
        </w:rPr>
        <w:t>a</w:t>
      </w:r>
      <w:r>
        <w:rPr>
          <w:spacing w:val="-2"/>
          <w:sz w:val="18"/>
        </w:rPr>
        <w:t>r</w:t>
      </w:r>
      <w:r>
        <w:rPr>
          <w:spacing w:val="1"/>
          <w:sz w:val="18"/>
        </w:rPr>
        <w:t>-</w:t>
      </w:r>
      <w:r>
        <w:rPr>
          <w:spacing w:val="-2"/>
          <w:sz w:val="18"/>
        </w:rPr>
        <w:t>m</w:t>
      </w:r>
      <w:r>
        <w:rPr>
          <w:spacing w:val="1"/>
          <w:sz w:val="18"/>
        </w:rPr>
        <w:t>i</w:t>
      </w:r>
      <w:r>
        <w:rPr>
          <w:spacing w:val="-2"/>
          <w:sz w:val="18"/>
        </w:rPr>
        <w:t>s</w:t>
      </w:r>
      <w:r>
        <w:rPr>
          <w:spacing w:val="1"/>
          <w:sz w:val="18"/>
        </w:rPr>
        <w:t>s</w:t>
      </w:r>
      <w:r>
        <w:rPr>
          <w:spacing w:val="-8"/>
          <w:sz w:val="18"/>
        </w:rPr>
        <w:t>”、“</w:t>
      </w:r>
      <w:r>
        <w:rPr>
          <w:spacing w:val="1"/>
          <w:sz w:val="18"/>
        </w:rPr>
        <w:t>n</w:t>
      </w:r>
      <w:r>
        <w:rPr>
          <w:spacing w:val="-2"/>
          <w:sz w:val="18"/>
        </w:rPr>
        <w:t>e</w:t>
      </w:r>
      <w:r>
        <w:rPr>
          <w:spacing w:val="1"/>
          <w:sz w:val="18"/>
        </w:rPr>
        <w:t>a</w:t>
      </w:r>
      <w:r>
        <w:rPr>
          <w:spacing w:val="-2"/>
          <w:sz w:val="18"/>
        </w:rPr>
        <w:t>r</w:t>
      </w:r>
      <w:r>
        <w:rPr>
          <w:spacing w:val="1"/>
          <w:sz w:val="18"/>
        </w:rPr>
        <w:t>-</w:t>
      </w:r>
      <w:r>
        <w:rPr>
          <w:spacing w:val="-2"/>
          <w:sz w:val="18"/>
        </w:rPr>
        <w:t>h</w:t>
      </w:r>
      <w:r>
        <w:rPr>
          <w:spacing w:val="1"/>
          <w:sz w:val="18"/>
        </w:rPr>
        <w:t>i</w:t>
      </w:r>
      <w:r>
        <w:rPr>
          <w:spacing w:val="-2"/>
          <w:sz w:val="18"/>
        </w:rPr>
        <w:t>t</w:t>
      </w:r>
      <w:r>
        <w:rPr>
          <w:spacing w:val="-5"/>
          <w:sz w:val="18"/>
        </w:rPr>
        <w:t>”或“</w:t>
      </w:r>
      <w:r>
        <w:rPr>
          <w:spacing w:val="1"/>
          <w:sz w:val="18"/>
        </w:rPr>
        <w:t>c</w:t>
      </w:r>
      <w:r>
        <w:rPr>
          <w:spacing w:val="-2"/>
          <w:sz w:val="18"/>
        </w:rPr>
        <w:t>l</w:t>
      </w:r>
      <w:r>
        <w:rPr>
          <w:spacing w:val="1"/>
          <w:sz w:val="18"/>
        </w:rPr>
        <w:t>o</w:t>
      </w:r>
      <w:r>
        <w:rPr>
          <w:spacing w:val="-2"/>
          <w:sz w:val="18"/>
        </w:rPr>
        <w:t>s</w:t>
      </w:r>
      <w:r>
        <w:rPr>
          <w:sz w:val="18"/>
        </w:rPr>
        <w:t>e </w:t>
      </w:r>
      <w:r>
        <w:rPr>
          <w:spacing w:val="1"/>
          <w:sz w:val="18"/>
        </w:rPr>
        <w:t>c</w:t>
      </w:r>
      <w:r>
        <w:rPr>
          <w:spacing w:val="-2"/>
          <w:sz w:val="18"/>
        </w:rPr>
        <w:t>a</w:t>
      </w:r>
      <w:r>
        <w:rPr>
          <w:spacing w:val="1"/>
          <w:sz w:val="18"/>
        </w:rPr>
        <w:t>l</w:t>
      </w:r>
      <w:r>
        <w:rPr>
          <w:spacing w:val="-2"/>
          <w:sz w:val="18"/>
        </w:rPr>
        <w:t>l</w:t>
      </w:r>
      <w:r>
        <w:rPr>
          <w:spacing w:val="-45"/>
          <w:sz w:val="18"/>
        </w:rPr>
        <w:t>”，</w:t>
      </w:r>
      <w:r>
        <w:rPr>
          <w:spacing w:val="-42"/>
          <w:sz w:val="18"/>
        </w:rPr>
        <w:t>在中文中也可称为“未遂事件” </w:t>
      </w:r>
      <w:r>
        <w:rPr>
          <w:sz w:val="21"/>
        </w:rPr>
        <w:t>、</w:t>
      </w:r>
      <w:r>
        <w:rPr>
          <w:sz w:val="18"/>
        </w:rPr>
        <w:t>“未遂事故”或“事故隐患”等。</w:t>
      </w:r>
    </w:p>
    <w:p>
      <w:pPr>
        <w:spacing w:line="225" w:lineRule="exact" w:before="0"/>
        <w:ind w:left="700" w:right="0" w:firstLine="0"/>
        <w:jc w:val="left"/>
        <w:rPr>
          <w:sz w:val="18"/>
        </w:rPr>
      </w:pPr>
      <w:r>
        <w:rPr>
          <w:sz w:val="18"/>
        </w:rPr>
        <w:t>注3：尽管事件可能涉及一个或多个</w:t>
      </w:r>
      <w:r>
        <w:rPr>
          <w:rFonts w:ascii="黑体" w:eastAsia="黑体" w:hint="eastAsia"/>
          <w:sz w:val="18"/>
        </w:rPr>
        <w:t>不符合</w:t>
      </w:r>
      <w:r>
        <w:rPr>
          <w:sz w:val="18"/>
        </w:rPr>
        <w:t>（3.34），但在没有</w:t>
      </w:r>
      <w:r>
        <w:rPr>
          <w:rFonts w:ascii="黑体" w:eastAsia="黑体" w:hint="eastAsia"/>
          <w:sz w:val="18"/>
        </w:rPr>
        <w:t>不符合</w:t>
      </w:r>
      <w:r>
        <w:rPr>
          <w:sz w:val="18"/>
        </w:rPr>
        <w:t>（3.34）时也可能会发生。</w:t>
      </w:r>
    </w:p>
    <w:p>
      <w:pPr>
        <w:pStyle w:val="BodyText"/>
        <w:spacing w:before="61"/>
        <w:ind w:left="278"/>
        <w:rPr>
          <w:rFonts w:ascii="黑体"/>
        </w:rPr>
      </w:pPr>
      <w:r>
        <w:rPr>
          <w:rFonts w:ascii="黑体"/>
        </w:rPr>
        <w:t>3.36</w:t>
      </w:r>
    </w:p>
    <w:p>
      <w:pPr>
        <w:pStyle w:val="BodyText"/>
        <w:ind w:left="700"/>
        <w:rPr>
          <w:rFonts w:ascii="Arial" w:eastAsia="Arial"/>
        </w:rPr>
      </w:pPr>
      <w:bookmarkStart w:name="纠正措施 corrective action " w:id="58"/>
      <w:bookmarkEnd w:id="58"/>
      <w:r>
        <w:rPr/>
      </w:r>
      <w:r>
        <w:rPr>
          <w:rFonts w:ascii="黑体" w:eastAsia="黑体" w:hint="eastAsia"/>
        </w:rPr>
        <w:t>纠正措施 </w:t>
      </w:r>
      <w:r>
        <w:rPr>
          <w:rFonts w:ascii="Arial" w:eastAsia="Arial"/>
        </w:rPr>
        <w:t>corrective action</w:t>
      </w:r>
    </w:p>
    <w:p>
      <w:pPr>
        <w:pStyle w:val="BodyText"/>
        <w:ind w:left="698"/>
      </w:pPr>
      <w:r>
        <w:rPr/>
        <w:t>为消除</w:t>
      </w:r>
      <w:r>
        <w:rPr>
          <w:rFonts w:ascii="黑体" w:eastAsia="黑体" w:hint="eastAsia"/>
        </w:rPr>
        <w:t>不符合</w:t>
      </w:r>
      <w:r>
        <w:rPr/>
        <w:t>（3.34）或</w:t>
      </w:r>
      <w:r>
        <w:rPr>
          <w:rFonts w:ascii="黑体" w:eastAsia="黑体" w:hint="eastAsia"/>
        </w:rPr>
        <w:t>事件</w:t>
      </w:r>
      <w:r>
        <w:rPr/>
        <w:t>（3.35）的原因并防止再次发生而采取的措施。</w:t>
      </w:r>
    </w:p>
    <w:p>
      <w:pPr>
        <w:spacing w:line="324" w:lineRule="auto" w:before="63"/>
        <w:ind w:left="1128" w:right="504" w:hanging="428"/>
        <w:jc w:val="both"/>
        <w:rPr>
          <w:sz w:val="18"/>
        </w:rPr>
      </w:pPr>
      <w:r>
        <w:rPr>
          <w:spacing w:val="-1"/>
          <w:sz w:val="18"/>
        </w:rPr>
        <w:t>注： 该术语和定义是《“</w:t>
      </w:r>
      <w:r>
        <w:rPr>
          <w:sz w:val="18"/>
        </w:rPr>
        <w:t>ISO/IEC</w:t>
      </w:r>
      <w:r>
        <w:rPr>
          <w:spacing w:val="-2"/>
          <w:sz w:val="18"/>
        </w:rPr>
        <w:t>导则 第</w:t>
      </w:r>
      <w:r>
        <w:rPr>
          <w:sz w:val="18"/>
        </w:rPr>
        <w:t>1部分”的ISO补充合并本》附录SL所给出ISO管理体系标准的通用术语</w:t>
      </w:r>
      <w:r>
        <w:rPr>
          <w:spacing w:val="-8"/>
          <w:sz w:val="18"/>
        </w:rPr>
        <w:t>和核心定义之一。由于“事件”是职业健康安全的关键因素，通过纠正措施来应对事件所需的活动与应对不</w:t>
      </w:r>
      <w:r>
        <w:rPr>
          <w:sz w:val="18"/>
        </w:rPr>
        <w:t>符合所需的活动相同，因此，该术语定义被改写为包括对“事件”的引用。</w:t>
      </w:r>
    </w:p>
    <w:p>
      <w:pPr>
        <w:pStyle w:val="BodyText"/>
        <w:spacing w:line="251" w:lineRule="exact" w:before="0"/>
        <w:ind w:left="278"/>
        <w:rPr>
          <w:rFonts w:ascii="黑体"/>
        </w:rPr>
      </w:pPr>
      <w:r>
        <w:rPr>
          <w:rFonts w:ascii="黑体"/>
        </w:rPr>
        <w:t>3.37</w:t>
      </w:r>
    </w:p>
    <w:p>
      <w:pPr>
        <w:pStyle w:val="BodyText"/>
        <w:ind w:left="700"/>
        <w:rPr>
          <w:rFonts w:ascii="Arial" w:eastAsia="Arial"/>
        </w:rPr>
      </w:pPr>
      <w:bookmarkStart w:name="持续改进 continual improvement" w:id="59"/>
      <w:bookmarkEnd w:id="59"/>
      <w:r>
        <w:rPr/>
      </w:r>
      <w:r>
        <w:rPr>
          <w:rFonts w:ascii="黑体" w:eastAsia="黑体" w:hint="eastAsia"/>
        </w:rPr>
        <w:t>持续改进 </w:t>
      </w:r>
      <w:r>
        <w:rPr>
          <w:rFonts w:ascii="Arial" w:eastAsia="Arial"/>
        </w:rPr>
        <w:t>continual improvement</w:t>
      </w:r>
    </w:p>
    <w:p>
      <w:pPr>
        <w:pStyle w:val="BodyText"/>
        <w:ind w:left="698"/>
      </w:pPr>
      <w:r>
        <w:rPr/>
        <w:t>提高</w:t>
      </w:r>
      <w:r>
        <w:rPr>
          <w:rFonts w:ascii="黑体" w:eastAsia="黑体" w:hint="eastAsia"/>
        </w:rPr>
        <w:t>绩效</w:t>
      </w:r>
      <w:r>
        <w:rPr/>
        <w:t>（3.27）的循环活动。</w:t>
      </w:r>
    </w:p>
    <w:p>
      <w:pPr>
        <w:spacing w:after="0"/>
        <w:sectPr>
          <w:pgSz w:w="11910" w:h="16840"/>
          <w:pgMar w:header="1442" w:footer="850" w:top="1660" w:bottom="1040" w:left="1140" w:right="740"/>
        </w:sectPr>
      </w:pPr>
    </w:p>
    <w:p>
      <w:pPr>
        <w:pStyle w:val="BodyText"/>
        <w:spacing w:before="0"/>
        <w:rPr>
          <w:sz w:val="8"/>
        </w:rPr>
      </w:pPr>
    </w:p>
    <w:p>
      <w:pPr>
        <w:spacing w:line="324" w:lineRule="auto" w:before="75"/>
        <w:ind w:left="1128" w:right="506" w:hanging="428"/>
        <w:jc w:val="left"/>
        <w:rPr>
          <w:sz w:val="18"/>
        </w:rPr>
      </w:pPr>
      <w:r>
        <w:rPr>
          <w:sz w:val="18"/>
        </w:rPr>
        <w:t>注1：提高绩效涉及使用</w:t>
      </w:r>
      <w:r>
        <w:rPr>
          <w:rFonts w:ascii="黑体" w:eastAsia="黑体" w:hint="eastAsia"/>
          <w:sz w:val="18"/>
        </w:rPr>
        <w:t>职业健康安全管理体系</w:t>
      </w:r>
      <w:r>
        <w:rPr>
          <w:sz w:val="18"/>
        </w:rPr>
        <w:t>（3.11），以实现与</w:t>
      </w:r>
      <w:r>
        <w:rPr>
          <w:rFonts w:ascii="黑体" w:eastAsia="黑体" w:hint="eastAsia"/>
          <w:sz w:val="18"/>
        </w:rPr>
        <w:t>职业健康安全方针</w:t>
      </w:r>
      <w:r>
        <w:rPr>
          <w:sz w:val="18"/>
        </w:rPr>
        <w:t>（3.15）和</w:t>
      </w:r>
      <w:r>
        <w:rPr>
          <w:rFonts w:ascii="黑体" w:eastAsia="黑体" w:hint="eastAsia"/>
          <w:sz w:val="18"/>
        </w:rPr>
        <w:t>职业健康安全目标</w:t>
      </w:r>
      <w:r>
        <w:rPr>
          <w:sz w:val="18"/>
        </w:rPr>
        <w:t>（3.17）相一致的整体</w:t>
      </w:r>
      <w:r>
        <w:rPr>
          <w:rFonts w:ascii="黑体" w:eastAsia="黑体" w:hint="eastAsia"/>
          <w:sz w:val="18"/>
        </w:rPr>
        <w:t>职业健康安全绩效</w:t>
      </w:r>
      <w:r>
        <w:rPr>
          <w:sz w:val="18"/>
        </w:rPr>
        <w:t>（3.27）的改进。</w:t>
      </w:r>
    </w:p>
    <w:p>
      <w:pPr>
        <w:spacing w:before="2"/>
        <w:ind w:left="700" w:right="0" w:firstLine="0"/>
        <w:jc w:val="left"/>
        <w:rPr>
          <w:sz w:val="18"/>
        </w:rPr>
      </w:pPr>
      <w:r>
        <w:rPr>
          <w:sz w:val="18"/>
        </w:rPr>
        <w:t>注2：持续并不意味着不间断，因此活动不必同时在所有领域发生。</w:t>
      </w:r>
    </w:p>
    <w:p>
      <w:pPr>
        <w:spacing w:line="324" w:lineRule="auto" w:before="81"/>
        <w:ind w:left="1128" w:right="504" w:hanging="428"/>
        <w:jc w:val="both"/>
        <w:rPr>
          <w:sz w:val="18"/>
        </w:rPr>
      </w:pPr>
      <w:r>
        <w:rPr>
          <w:sz w:val="18"/>
        </w:rPr>
        <w:t>注3：该术语和定义是《“ISO/IEC导则 第1部分”的ISO补充合并本》附录SL所给出的ISO管理体系标准的通用术语和核心定义之一。为了澄清在职业健康安全管理体系背景下“绩效”的含义，增加了注1。为了澄清“持续”的含义，增加了注2。</w:t>
      </w:r>
    </w:p>
    <w:p>
      <w:pPr>
        <w:pStyle w:val="ListParagraph"/>
        <w:numPr>
          <w:ilvl w:val="0"/>
          <w:numId w:val="11"/>
        </w:numPr>
        <w:tabs>
          <w:tab w:pos="592" w:val="left" w:leader="none"/>
          <w:tab w:pos="593" w:val="left" w:leader="none"/>
        </w:tabs>
        <w:spacing w:line="251" w:lineRule="exact" w:before="0" w:after="0"/>
        <w:ind w:left="592" w:right="0" w:hanging="315"/>
        <w:jc w:val="left"/>
        <w:rPr>
          <w:rFonts w:ascii="黑体" w:eastAsia="黑体" w:hint="eastAsia"/>
          <w:sz w:val="21"/>
        </w:rPr>
      </w:pPr>
      <w:bookmarkStart w:name="4　组织所处的环境" w:id="60"/>
      <w:bookmarkEnd w:id="60"/>
      <w:r>
        <w:rPr/>
      </w:r>
      <w:bookmarkStart w:name="_bookmark6" w:id="61"/>
      <w:bookmarkEnd w:id="61"/>
      <w:r>
        <w:rPr>
          <w:rFonts w:ascii="黑体" w:eastAsia="黑体" w:hint="eastAsia"/>
          <w:sz w:val="21"/>
        </w:rPr>
        <w:t>组织所处的环境</w:t>
      </w:r>
    </w:p>
    <w:p>
      <w:pPr>
        <w:pStyle w:val="ListParagraph"/>
        <w:numPr>
          <w:ilvl w:val="1"/>
          <w:numId w:val="11"/>
        </w:numPr>
        <w:tabs>
          <w:tab w:pos="803" w:val="left" w:leader="none"/>
          <w:tab w:pos="804" w:val="left" w:leader="none"/>
        </w:tabs>
        <w:spacing w:line="240" w:lineRule="auto" w:before="43" w:after="0"/>
        <w:ind w:left="804" w:right="0" w:hanging="526"/>
        <w:jc w:val="left"/>
        <w:rPr>
          <w:rFonts w:ascii="黑体" w:eastAsia="黑体" w:hint="eastAsia"/>
          <w:sz w:val="21"/>
        </w:rPr>
      </w:pPr>
      <w:bookmarkStart w:name="4.1　理解组织及其所处的环境" w:id="62"/>
      <w:bookmarkEnd w:id="62"/>
      <w:r>
        <w:rPr/>
      </w:r>
      <w:bookmarkStart w:name="_bookmark7" w:id="63"/>
      <w:bookmarkEnd w:id="63"/>
      <w:r>
        <w:rPr>
          <w:rFonts w:ascii="黑体" w:eastAsia="黑体" w:hint="eastAsia"/>
          <w:sz w:val="21"/>
        </w:rPr>
        <w:t>理解组织及其所处的环境</w:t>
      </w:r>
    </w:p>
    <w:p>
      <w:pPr>
        <w:pStyle w:val="BodyText"/>
        <w:ind w:left="698"/>
      </w:pPr>
      <w:r>
        <w:rPr/>
        <w:t>组织应确定与其宗旨相关并影响其实现职业健康安全管理体系预期结果的能力的内部和外部议</w:t>
      </w:r>
    </w:p>
    <w:p>
      <w:pPr>
        <w:pStyle w:val="BodyText"/>
        <w:ind w:left="278"/>
      </w:pPr>
      <w:r>
        <w:rPr/>
        <w:t>题。</w:t>
      </w:r>
    </w:p>
    <w:p>
      <w:pPr>
        <w:pStyle w:val="ListParagraph"/>
        <w:numPr>
          <w:ilvl w:val="1"/>
          <w:numId w:val="11"/>
        </w:numPr>
        <w:tabs>
          <w:tab w:pos="803" w:val="left" w:leader="none"/>
          <w:tab w:pos="804" w:val="left" w:leader="none"/>
        </w:tabs>
        <w:spacing w:line="240" w:lineRule="auto" w:before="43" w:after="0"/>
        <w:ind w:left="804" w:right="0" w:hanging="526"/>
        <w:jc w:val="left"/>
        <w:rPr>
          <w:rFonts w:ascii="黑体" w:eastAsia="黑体" w:hint="eastAsia"/>
          <w:sz w:val="21"/>
        </w:rPr>
      </w:pPr>
      <w:bookmarkStart w:name="4.2　理解工作人员和其他相关方的需求和期望" w:id="64"/>
      <w:bookmarkEnd w:id="64"/>
      <w:r>
        <w:rPr/>
      </w:r>
      <w:bookmarkStart w:name="_bookmark8" w:id="65"/>
      <w:bookmarkEnd w:id="65"/>
      <w:r>
        <w:rPr>
          <w:rFonts w:ascii="黑体" w:eastAsia="黑体" w:hint="eastAsia"/>
          <w:sz w:val="21"/>
        </w:rPr>
        <w:t>理解工作人员和其他相关方的需求和期望</w:t>
      </w:r>
    </w:p>
    <w:p>
      <w:pPr>
        <w:pStyle w:val="BodyText"/>
        <w:ind w:left="698"/>
      </w:pPr>
      <w:r>
        <w:rPr/>
        <w:t>组织应确定：</w:t>
      </w:r>
    </w:p>
    <w:p>
      <w:pPr>
        <w:pStyle w:val="BodyText"/>
        <w:spacing w:line="278" w:lineRule="auto"/>
        <w:ind w:left="700" w:right="3029"/>
      </w:pPr>
      <w:r>
        <w:rPr>
          <w:rFonts w:ascii="Times New Roman" w:eastAsia="Times New Roman"/>
          <w:w w:val="95"/>
        </w:rPr>
        <w:t>a</w:t>
      </w:r>
      <w:r>
        <w:rPr>
          <w:w w:val="95"/>
        </w:rPr>
        <w:t>）除工作人员之外的、与职业健康安全管理体系有关的其他相关方； </w:t>
      </w:r>
      <w:r>
        <w:rPr>
          <w:rFonts w:ascii="Times New Roman" w:eastAsia="Times New Roman"/>
          <w:spacing w:val="1"/>
          <w:w w:val="99"/>
        </w:rPr>
        <w:t>b</w:t>
      </w:r>
      <w:r>
        <w:rPr>
          <w:spacing w:val="-1"/>
          <w:w w:val="99"/>
        </w:rPr>
        <w:t>）工作人员及其他相关方的有关需求和期望</w:t>
      </w:r>
      <w:r>
        <w:rPr>
          <w:spacing w:val="2"/>
          <w:w w:val="99"/>
        </w:rPr>
        <w:t>（</w:t>
      </w:r>
      <w:r>
        <w:rPr>
          <w:w w:val="99"/>
        </w:rPr>
        <w:t>即要求</w:t>
      </w:r>
      <w:r>
        <w:rPr>
          <w:spacing w:val="-106"/>
          <w:w w:val="99"/>
        </w:rPr>
        <w:t>）</w:t>
      </w:r>
      <w:r>
        <w:rPr>
          <w:w w:val="99"/>
        </w:rPr>
        <w:t>；</w:t>
      </w:r>
    </w:p>
    <w:p>
      <w:pPr>
        <w:pStyle w:val="BodyText"/>
        <w:spacing w:line="269" w:lineRule="exact" w:before="0"/>
        <w:ind w:left="700"/>
      </w:pPr>
      <w:r>
        <w:rPr>
          <w:rFonts w:ascii="Times New Roman" w:eastAsia="Times New Roman"/>
        </w:rPr>
        <w:t>c</w:t>
      </w:r>
      <w:r>
        <w:rPr/>
        <w:t>）这些需求和期望中哪些是或将可能成为法律法规要求和其他要求。</w:t>
      </w:r>
    </w:p>
    <w:p>
      <w:pPr>
        <w:pStyle w:val="ListParagraph"/>
        <w:numPr>
          <w:ilvl w:val="1"/>
          <w:numId w:val="11"/>
        </w:numPr>
        <w:tabs>
          <w:tab w:pos="803" w:val="left" w:leader="none"/>
          <w:tab w:pos="804" w:val="left" w:leader="none"/>
        </w:tabs>
        <w:spacing w:line="240" w:lineRule="auto" w:before="42" w:after="0"/>
        <w:ind w:left="804" w:right="0" w:hanging="526"/>
        <w:jc w:val="left"/>
        <w:rPr>
          <w:rFonts w:ascii="黑体" w:eastAsia="黑体" w:hint="eastAsia"/>
          <w:sz w:val="21"/>
        </w:rPr>
      </w:pPr>
      <w:bookmarkStart w:name="4.3　确定职业健康安全管理体系的范围" w:id="66"/>
      <w:bookmarkEnd w:id="66"/>
      <w:r>
        <w:rPr/>
      </w:r>
      <w:bookmarkStart w:name="_bookmark9" w:id="67"/>
      <w:bookmarkEnd w:id="67"/>
      <w:r>
        <w:rPr>
          <w:rFonts w:ascii="黑体" w:eastAsia="黑体" w:hint="eastAsia"/>
          <w:sz w:val="21"/>
        </w:rPr>
        <w:t>确定职业健康安全管理体系的范围</w:t>
      </w:r>
    </w:p>
    <w:p>
      <w:pPr>
        <w:pStyle w:val="BodyText"/>
        <w:spacing w:line="278" w:lineRule="auto"/>
        <w:ind w:left="698" w:right="3029"/>
      </w:pPr>
      <w:r>
        <w:rPr>
          <w:w w:val="95"/>
        </w:rPr>
        <w:t>组织应界定职业健康安全管理体系的边界和适用性，以确定其范围。  </w:t>
      </w:r>
      <w:r>
        <w:rPr/>
        <w:t>在确定范围时，组织：</w:t>
      </w:r>
    </w:p>
    <w:p>
      <w:pPr>
        <w:pStyle w:val="ListParagraph"/>
        <w:numPr>
          <w:ilvl w:val="2"/>
          <w:numId w:val="11"/>
        </w:numPr>
        <w:tabs>
          <w:tab w:pos="1002" w:val="left" w:leader="none"/>
        </w:tabs>
        <w:spacing w:line="269" w:lineRule="exact" w:before="0" w:after="0"/>
        <w:ind w:left="1002" w:right="0" w:hanging="304"/>
        <w:jc w:val="left"/>
        <w:rPr>
          <w:sz w:val="21"/>
        </w:rPr>
      </w:pPr>
      <w:r>
        <w:rPr>
          <w:spacing w:val="-14"/>
          <w:sz w:val="21"/>
        </w:rPr>
        <w:t>应考虑 </w:t>
      </w:r>
      <w:r>
        <w:rPr>
          <w:rFonts w:ascii="Times New Roman" w:eastAsia="Times New Roman"/>
          <w:sz w:val="21"/>
        </w:rPr>
        <w:t>4.1</w:t>
      </w:r>
      <w:r>
        <w:rPr>
          <w:rFonts w:ascii="Times New Roman" w:eastAsia="Times New Roman"/>
          <w:spacing w:val="-1"/>
          <w:sz w:val="21"/>
        </w:rPr>
        <w:t> </w:t>
      </w:r>
      <w:r>
        <w:rPr>
          <w:sz w:val="21"/>
        </w:rPr>
        <w:t>中所提及的内部和外部议题；</w:t>
      </w:r>
    </w:p>
    <w:p>
      <w:pPr>
        <w:pStyle w:val="ListParagraph"/>
        <w:numPr>
          <w:ilvl w:val="2"/>
          <w:numId w:val="11"/>
        </w:numPr>
        <w:tabs>
          <w:tab w:pos="1014" w:val="left" w:leader="none"/>
        </w:tabs>
        <w:spacing w:line="240" w:lineRule="auto" w:before="43" w:after="0"/>
        <w:ind w:left="1014" w:right="0" w:hanging="316"/>
        <w:jc w:val="left"/>
        <w:rPr>
          <w:sz w:val="21"/>
        </w:rPr>
      </w:pPr>
      <w:r>
        <w:rPr>
          <w:spacing w:val="-11"/>
          <w:sz w:val="21"/>
        </w:rPr>
        <w:t>必须考虑 </w:t>
      </w:r>
      <w:r>
        <w:rPr>
          <w:rFonts w:ascii="Times New Roman" w:eastAsia="Times New Roman"/>
          <w:sz w:val="21"/>
        </w:rPr>
        <w:t>4.2</w:t>
      </w:r>
      <w:r>
        <w:rPr>
          <w:rFonts w:ascii="Times New Roman" w:eastAsia="Times New Roman"/>
          <w:spacing w:val="1"/>
          <w:sz w:val="21"/>
        </w:rPr>
        <w:t> </w:t>
      </w:r>
      <w:r>
        <w:rPr>
          <w:sz w:val="21"/>
        </w:rPr>
        <w:t>中所提及的要求；</w:t>
      </w:r>
    </w:p>
    <w:p>
      <w:pPr>
        <w:pStyle w:val="ListParagraph"/>
        <w:numPr>
          <w:ilvl w:val="2"/>
          <w:numId w:val="11"/>
        </w:numPr>
        <w:tabs>
          <w:tab w:pos="1002" w:val="left" w:leader="none"/>
        </w:tabs>
        <w:spacing w:line="240" w:lineRule="auto" w:before="43" w:after="0"/>
        <w:ind w:left="1002" w:right="0" w:hanging="304"/>
        <w:jc w:val="left"/>
        <w:rPr>
          <w:sz w:val="21"/>
        </w:rPr>
      </w:pPr>
      <w:r>
        <w:rPr>
          <w:sz w:val="21"/>
        </w:rPr>
        <w:t>必须考虑所计划的或实施的与工作相关的活动。</w:t>
      </w:r>
    </w:p>
    <w:p>
      <w:pPr>
        <w:pStyle w:val="BodyText"/>
        <w:spacing w:line="278" w:lineRule="auto"/>
        <w:ind w:left="278" w:right="506" w:firstLine="420"/>
      </w:pPr>
      <w:r>
        <w:rPr>
          <w:w w:val="95"/>
        </w:rPr>
        <w:t>职业健康安全管理体系应包括在组织控制下或在其影响范围内可能影响组织职业健康安全绩效的   </w:t>
      </w:r>
      <w:r>
        <w:rPr/>
        <w:t>活动、产品和服务。</w:t>
      </w:r>
    </w:p>
    <w:p>
      <w:pPr>
        <w:pStyle w:val="BodyText"/>
        <w:spacing w:line="269" w:lineRule="exact" w:before="0"/>
        <w:ind w:left="698"/>
      </w:pPr>
      <w:r>
        <w:rPr/>
        <w:t>范围应作为文件化信息可被获取。</w:t>
      </w:r>
    </w:p>
    <w:p>
      <w:pPr>
        <w:pStyle w:val="ListParagraph"/>
        <w:numPr>
          <w:ilvl w:val="1"/>
          <w:numId w:val="11"/>
        </w:numPr>
        <w:tabs>
          <w:tab w:pos="803" w:val="left" w:leader="none"/>
          <w:tab w:pos="804" w:val="left" w:leader="none"/>
        </w:tabs>
        <w:spacing w:line="240" w:lineRule="auto" w:before="43" w:after="0"/>
        <w:ind w:left="804" w:right="0" w:hanging="526"/>
        <w:jc w:val="left"/>
        <w:rPr>
          <w:rFonts w:ascii="黑体" w:eastAsia="黑体" w:hint="eastAsia"/>
          <w:sz w:val="21"/>
        </w:rPr>
      </w:pPr>
      <w:bookmarkStart w:name="4.4　职业健康安全管理体系" w:id="68"/>
      <w:bookmarkEnd w:id="68"/>
      <w:r>
        <w:rPr/>
      </w:r>
      <w:bookmarkStart w:name="_bookmark10" w:id="69"/>
      <w:bookmarkEnd w:id="69"/>
      <w:r>
        <w:rPr>
          <w:rFonts w:ascii="黑体" w:eastAsia="黑体" w:hint="eastAsia"/>
          <w:sz w:val="21"/>
        </w:rPr>
        <w:t>职业健康安全管理体系</w:t>
      </w:r>
    </w:p>
    <w:p>
      <w:pPr>
        <w:pStyle w:val="BodyText"/>
        <w:spacing w:line="278" w:lineRule="auto"/>
        <w:ind w:left="278" w:right="506" w:firstLine="420"/>
      </w:pPr>
      <w:r>
        <w:rPr>
          <w:w w:val="95"/>
        </w:rPr>
        <w:t>组织应按照本标准的要求建立、实施、保持和持续改进职业健康安全管理体系，包括所需的过程   </w:t>
      </w:r>
      <w:r>
        <w:rPr/>
        <w:t>及其相互作用。</w:t>
      </w:r>
    </w:p>
    <w:p>
      <w:pPr>
        <w:pStyle w:val="ListParagraph"/>
        <w:numPr>
          <w:ilvl w:val="0"/>
          <w:numId w:val="11"/>
        </w:numPr>
        <w:tabs>
          <w:tab w:pos="592" w:val="left" w:leader="none"/>
          <w:tab w:pos="593" w:val="left" w:leader="none"/>
        </w:tabs>
        <w:spacing w:line="269" w:lineRule="exact" w:before="0" w:after="0"/>
        <w:ind w:left="592" w:right="0" w:hanging="315"/>
        <w:jc w:val="left"/>
        <w:rPr>
          <w:rFonts w:ascii="黑体" w:eastAsia="黑体" w:hint="eastAsia"/>
          <w:sz w:val="21"/>
        </w:rPr>
      </w:pPr>
      <w:bookmarkStart w:name="5　领导作用和工作人员参与" w:id="70"/>
      <w:bookmarkEnd w:id="70"/>
      <w:r>
        <w:rPr/>
      </w:r>
      <w:bookmarkStart w:name="_bookmark11" w:id="71"/>
      <w:bookmarkEnd w:id="71"/>
      <w:r>
        <w:rPr>
          <w:rFonts w:ascii="黑体" w:eastAsia="黑体" w:hint="eastAsia"/>
          <w:sz w:val="21"/>
        </w:rPr>
        <w:t>领导作用和工作人员参与</w:t>
      </w:r>
    </w:p>
    <w:p>
      <w:pPr>
        <w:pStyle w:val="ListParagraph"/>
        <w:numPr>
          <w:ilvl w:val="1"/>
          <w:numId w:val="11"/>
        </w:numPr>
        <w:tabs>
          <w:tab w:pos="803" w:val="left" w:leader="none"/>
          <w:tab w:pos="804" w:val="left" w:leader="none"/>
        </w:tabs>
        <w:spacing w:line="240" w:lineRule="auto" w:before="43" w:after="0"/>
        <w:ind w:left="804" w:right="0" w:hanging="526"/>
        <w:jc w:val="left"/>
        <w:rPr>
          <w:rFonts w:ascii="黑体" w:eastAsia="黑体" w:hint="eastAsia"/>
          <w:sz w:val="21"/>
        </w:rPr>
      </w:pPr>
      <w:bookmarkStart w:name="5.1　领导作用和承诺" w:id="72"/>
      <w:bookmarkEnd w:id="72"/>
      <w:r>
        <w:rPr/>
      </w:r>
      <w:bookmarkStart w:name="_bookmark12" w:id="73"/>
      <w:bookmarkEnd w:id="73"/>
      <w:r>
        <w:rPr>
          <w:rFonts w:ascii="黑体" w:eastAsia="黑体" w:hint="eastAsia"/>
          <w:sz w:val="21"/>
        </w:rPr>
        <w:t>领导作用和承诺</w:t>
      </w:r>
    </w:p>
    <w:p>
      <w:pPr>
        <w:pStyle w:val="BodyText"/>
        <w:ind w:left="698"/>
      </w:pPr>
      <w:r>
        <w:rPr/>
        <w:t>最高管理者应通过以下方式证实其在职业健康安全管理体系方面的领导作用和承诺：</w:t>
      </w:r>
    </w:p>
    <w:p>
      <w:pPr>
        <w:pStyle w:val="ListParagraph"/>
        <w:numPr>
          <w:ilvl w:val="2"/>
          <w:numId w:val="11"/>
        </w:numPr>
        <w:tabs>
          <w:tab w:pos="1013" w:val="left" w:leader="none"/>
        </w:tabs>
        <w:spacing w:line="278" w:lineRule="auto" w:before="43" w:after="0"/>
        <w:ind w:left="984" w:right="506" w:hanging="281"/>
        <w:jc w:val="left"/>
        <w:rPr>
          <w:sz w:val="21"/>
        </w:rPr>
      </w:pPr>
      <w:r>
        <w:rPr>
          <w:sz w:val="21"/>
        </w:rPr>
        <w:t>对防止与工作相关的伤害和健康损害以及提供健康安全的工作场所和活动全面负责并承担责任；</w:t>
      </w:r>
    </w:p>
    <w:p>
      <w:pPr>
        <w:pStyle w:val="ListParagraph"/>
        <w:numPr>
          <w:ilvl w:val="2"/>
          <w:numId w:val="11"/>
        </w:numPr>
        <w:tabs>
          <w:tab w:pos="1019" w:val="left" w:leader="none"/>
        </w:tabs>
        <w:spacing w:line="278" w:lineRule="auto" w:before="0" w:after="0"/>
        <w:ind w:left="703" w:right="1027" w:firstLine="0"/>
        <w:jc w:val="left"/>
        <w:rPr>
          <w:sz w:val="21"/>
        </w:rPr>
      </w:pPr>
      <w:r>
        <w:rPr>
          <w:w w:val="95"/>
          <w:sz w:val="21"/>
        </w:rPr>
        <w:t>确保职业健康安全方针和相关职业健康安全目标得以建立，并与组织战略方向相一致；  </w:t>
      </w:r>
      <w:r>
        <w:rPr>
          <w:rFonts w:ascii="Times New Roman" w:eastAsia="Times New Roman"/>
          <w:sz w:val="21"/>
        </w:rPr>
        <w:t>c</w:t>
      </w:r>
      <w:r>
        <w:rPr>
          <w:sz w:val="21"/>
        </w:rPr>
        <w:t>）确保将职业健康安全管理体系要求融入组织业务过程之中；</w:t>
      </w:r>
    </w:p>
    <w:p>
      <w:pPr>
        <w:pStyle w:val="ListParagraph"/>
        <w:numPr>
          <w:ilvl w:val="0"/>
          <w:numId w:val="12"/>
        </w:numPr>
        <w:tabs>
          <w:tab w:pos="1019" w:val="left" w:leader="none"/>
        </w:tabs>
        <w:spacing w:line="269" w:lineRule="exact" w:before="0" w:after="0"/>
        <w:ind w:left="1018" w:right="0" w:hanging="316"/>
        <w:jc w:val="left"/>
        <w:rPr>
          <w:sz w:val="21"/>
        </w:rPr>
      </w:pPr>
      <w:r>
        <w:rPr>
          <w:sz w:val="21"/>
        </w:rPr>
        <w:t>确保可获得建立、实施、保持和改进职业健康安全管理体系所需的资源；</w:t>
      </w:r>
    </w:p>
    <w:p>
      <w:pPr>
        <w:pStyle w:val="ListParagraph"/>
        <w:numPr>
          <w:ilvl w:val="0"/>
          <w:numId w:val="12"/>
        </w:numPr>
        <w:tabs>
          <w:tab w:pos="1007" w:val="left" w:leader="none"/>
        </w:tabs>
        <w:spacing w:line="278" w:lineRule="auto" w:before="43" w:after="0"/>
        <w:ind w:left="703" w:right="1459" w:firstLine="0"/>
        <w:jc w:val="left"/>
        <w:rPr>
          <w:sz w:val="21"/>
        </w:rPr>
      </w:pPr>
      <w:r>
        <w:rPr>
          <w:w w:val="95"/>
          <w:sz w:val="21"/>
        </w:rPr>
        <w:t>就有效的职业健康安全管理和符合职业健康安全管理体系要求的重要性进行沟通；  </w:t>
      </w:r>
      <w:r>
        <w:rPr>
          <w:rFonts w:ascii="Times New Roman" w:eastAsia="Times New Roman"/>
          <w:sz w:val="21"/>
        </w:rPr>
        <w:t>f</w:t>
      </w:r>
      <w:r>
        <w:rPr>
          <w:sz w:val="21"/>
        </w:rPr>
        <w:t>）确保职业健康安全管理体系实现其预期结果；</w:t>
      </w:r>
    </w:p>
    <w:p>
      <w:pPr>
        <w:pStyle w:val="BodyText"/>
        <w:spacing w:line="278" w:lineRule="auto" w:before="0"/>
        <w:ind w:left="703" w:right="3385"/>
      </w:pPr>
      <w:r>
        <w:rPr>
          <w:rFonts w:ascii="Times New Roman" w:eastAsia="Times New Roman"/>
          <w:w w:val="95"/>
        </w:rPr>
        <w:t>g</w:t>
      </w:r>
      <w:r>
        <w:rPr>
          <w:w w:val="95"/>
        </w:rPr>
        <w:t>）指导并支持人员为职业健康安全管理体系的有效性做出贡献； </w:t>
      </w:r>
      <w:r>
        <w:rPr>
          <w:rFonts w:ascii="Times New Roman" w:eastAsia="Times New Roman"/>
        </w:rPr>
        <w:t>h</w:t>
      </w:r>
      <w:r>
        <w:rPr/>
        <w:t>）确保并促进持续改进；</w:t>
      </w:r>
    </w:p>
    <w:p>
      <w:pPr>
        <w:pStyle w:val="BodyText"/>
        <w:spacing w:line="269" w:lineRule="exact" w:before="0"/>
        <w:ind w:left="703"/>
      </w:pPr>
      <w:r>
        <w:rPr>
          <w:rFonts w:ascii="Times New Roman" w:eastAsia="Times New Roman"/>
        </w:rPr>
        <w:t>i</w:t>
      </w:r>
      <w:r>
        <w:rPr/>
        <w:t>）支持其他相关管理人员证实在其职责范围内的领导作用；</w:t>
      </w:r>
    </w:p>
    <w:p>
      <w:pPr>
        <w:pStyle w:val="BodyText"/>
        <w:spacing w:line="278" w:lineRule="auto" w:before="42"/>
        <w:ind w:left="703" w:right="2373"/>
      </w:pPr>
      <w:r>
        <w:rPr>
          <w:rFonts w:ascii="Times New Roman" w:eastAsia="Times New Roman"/>
          <w:w w:val="95"/>
        </w:rPr>
        <w:t>j</w:t>
      </w:r>
      <w:r>
        <w:rPr>
          <w:w w:val="95"/>
        </w:rPr>
        <w:t>）在组织内建立、引导和促进支持职业健康安全管理体系预期结果的文化； </w:t>
      </w:r>
      <w:r>
        <w:rPr>
          <w:rFonts w:ascii="Times New Roman" w:eastAsia="Times New Roman"/>
        </w:rPr>
        <w:t>k</w:t>
      </w:r>
      <w:r>
        <w:rPr/>
        <w:t>）保护工作人员不因报告事件、危险源、风险和机遇而遭受报复；</w:t>
      </w:r>
    </w:p>
    <w:p>
      <w:pPr>
        <w:pStyle w:val="BodyText"/>
        <w:spacing w:line="278" w:lineRule="auto" w:before="0"/>
        <w:ind w:left="703" w:right="3385"/>
      </w:pPr>
      <w:r>
        <w:rPr>
          <w:rFonts w:ascii="Times New Roman" w:eastAsia="Times New Roman"/>
          <w:spacing w:val="-1"/>
          <w:w w:val="99"/>
        </w:rPr>
        <w:t>l</w:t>
      </w:r>
      <w:r>
        <w:rPr>
          <w:spacing w:val="-1"/>
          <w:w w:val="99"/>
        </w:rPr>
        <w:t>）确保组织建立和实施工作人员的协商和参与的过程</w:t>
      </w:r>
      <w:r>
        <w:rPr>
          <w:spacing w:val="2"/>
          <w:w w:val="99"/>
        </w:rPr>
        <w:t>（</w:t>
      </w:r>
      <w:r>
        <w:rPr>
          <w:w w:val="99"/>
        </w:rPr>
        <w:t>见</w:t>
      </w:r>
      <w:r>
        <w:rPr>
          <w:spacing w:val="-50"/>
        </w:rPr>
        <w:t> </w:t>
      </w:r>
      <w:r>
        <w:rPr>
          <w:rFonts w:ascii="Times New Roman" w:eastAsia="Times New Roman"/>
          <w:spacing w:val="1"/>
          <w:w w:val="99"/>
        </w:rPr>
        <w:t>5</w:t>
      </w:r>
      <w:r>
        <w:rPr>
          <w:rFonts w:ascii="Times New Roman" w:eastAsia="Times New Roman"/>
          <w:w w:val="99"/>
        </w:rPr>
        <w:t>.</w:t>
      </w:r>
      <w:r>
        <w:rPr>
          <w:rFonts w:ascii="Times New Roman" w:eastAsia="Times New Roman"/>
          <w:spacing w:val="-2"/>
          <w:w w:val="99"/>
        </w:rPr>
        <w:t>4</w:t>
      </w:r>
      <w:r>
        <w:rPr>
          <w:spacing w:val="-104"/>
          <w:w w:val="99"/>
        </w:rPr>
        <w:t>）</w:t>
      </w:r>
      <w:r>
        <w:rPr>
          <w:w w:val="99"/>
        </w:rPr>
        <w:t>； </w:t>
      </w:r>
      <w:r>
        <w:rPr>
          <w:rFonts w:ascii="Times New Roman" w:eastAsia="Times New Roman"/>
          <w:w w:val="99"/>
        </w:rPr>
        <w:t>m</w:t>
      </w:r>
      <w:r>
        <w:rPr>
          <w:spacing w:val="-1"/>
          <w:w w:val="99"/>
        </w:rPr>
        <w:t>）支持健康安全委员会的建立和运行［</w:t>
      </w:r>
      <w:r>
        <w:rPr>
          <w:w w:val="99"/>
        </w:rPr>
        <w:t>见</w:t>
      </w:r>
      <w:r>
        <w:rPr>
          <w:spacing w:val="-50"/>
        </w:rPr>
        <w:t> </w:t>
      </w:r>
      <w:r>
        <w:rPr>
          <w:rFonts w:ascii="Times New Roman" w:eastAsia="Times New Roman"/>
          <w:spacing w:val="1"/>
          <w:w w:val="99"/>
        </w:rPr>
        <w:t>5</w:t>
      </w:r>
      <w:r>
        <w:rPr>
          <w:rFonts w:ascii="Times New Roman" w:eastAsia="Times New Roman"/>
          <w:w w:val="99"/>
        </w:rPr>
        <w:t>.</w:t>
      </w:r>
      <w:r>
        <w:rPr>
          <w:rFonts w:ascii="Times New Roman" w:eastAsia="Times New Roman"/>
          <w:spacing w:val="1"/>
          <w:w w:val="99"/>
        </w:rPr>
        <w:t>4</w:t>
      </w:r>
      <w:r>
        <w:rPr>
          <w:rFonts w:ascii="Times New Roman" w:eastAsia="Times New Roman"/>
          <w:spacing w:val="-2"/>
          <w:w w:val="99"/>
        </w:rPr>
        <w:t>e</w:t>
      </w:r>
      <w:r>
        <w:rPr>
          <w:spacing w:val="2"/>
          <w:w w:val="99"/>
        </w:rPr>
        <w:t>）</w:t>
      </w:r>
      <w:r>
        <w:rPr>
          <w:rFonts w:ascii="Times New Roman" w:eastAsia="Times New Roman"/>
          <w:spacing w:val="-2"/>
          <w:w w:val="99"/>
        </w:rPr>
        <w:t>1</w:t>
      </w:r>
      <w:r>
        <w:rPr>
          <w:spacing w:val="-104"/>
          <w:w w:val="99"/>
        </w:rPr>
        <w:t>）］</w:t>
      </w:r>
      <w:r>
        <w:rPr>
          <w:w w:val="99"/>
        </w:rPr>
        <w:t>。</w:t>
      </w:r>
    </w:p>
    <w:p>
      <w:pPr>
        <w:spacing w:after="0" w:line="278" w:lineRule="auto"/>
        <w:sectPr>
          <w:pgSz w:w="11910" w:h="16840"/>
          <w:pgMar w:header="1442" w:footer="850" w:top="1660" w:bottom="1040" w:left="1140" w:right="740"/>
        </w:sectPr>
      </w:pPr>
    </w:p>
    <w:p>
      <w:pPr>
        <w:pStyle w:val="BodyText"/>
        <w:spacing w:before="0"/>
        <w:rPr>
          <w:sz w:val="8"/>
        </w:rPr>
      </w:pPr>
    </w:p>
    <w:p>
      <w:pPr>
        <w:spacing w:before="75"/>
        <w:ind w:left="700" w:right="0" w:firstLine="0"/>
        <w:jc w:val="left"/>
        <w:rPr>
          <w:sz w:val="18"/>
        </w:rPr>
      </w:pPr>
      <w:r>
        <w:rPr>
          <w:sz w:val="18"/>
        </w:rPr>
        <w:t>注：本标准所提及的“业务”可从广义上理解为涉及组织存在目的的那些核心活动。</w:t>
      </w:r>
    </w:p>
    <w:p>
      <w:pPr>
        <w:pStyle w:val="ListParagraph"/>
        <w:numPr>
          <w:ilvl w:val="1"/>
          <w:numId w:val="11"/>
        </w:numPr>
        <w:tabs>
          <w:tab w:pos="803" w:val="left" w:leader="none"/>
          <w:tab w:pos="804" w:val="left" w:leader="none"/>
        </w:tabs>
        <w:spacing w:line="240" w:lineRule="auto" w:before="61" w:after="0"/>
        <w:ind w:left="804" w:right="0" w:hanging="526"/>
        <w:jc w:val="left"/>
        <w:rPr>
          <w:rFonts w:ascii="黑体" w:eastAsia="黑体" w:hint="eastAsia"/>
          <w:sz w:val="21"/>
        </w:rPr>
      </w:pPr>
      <w:bookmarkStart w:name="5.2　职业健康安全方针" w:id="74"/>
      <w:bookmarkEnd w:id="74"/>
      <w:r>
        <w:rPr/>
      </w:r>
      <w:bookmarkStart w:name="_bookmark13" w:id="75"/>
      <w:bookmarkEnd w:id="75"/>
      <w:r>
        <w:rPr>
          <w:rFonts w:ascii="黑体" w:eastAsia="黑体" w:hint="eastAsia"/>
          <w:sz w:val="21"/>
        </w:rPr>
        <w:t>职业健康安全方针</w:t>
      </w:r>
    </w:p>
    <w:p>
      <w:pPr>
        <w:pStyle w:val="BodyText"/>
        <w:ind w:left="698"/>
      </w:pPr>
      <w:r>
        <w:rPr/>
        <w:t>最高管理者应建立、实施并保持职业健康安全方针。职业健康安全方针应：</w:t>
      </w:r>
    </w:p>
    <w:p>
      <w:pPr>
        <w:pStyle w:val="ListParagraph"/>
        <w:numPr>
          <w:ilvl w:val="0"/>
          <w:numId w:val="13"/>
        </w:numPr>
        <w:tabs>
          <w:tab w:pos="1107" w:val="left" w:leader="none"/>
        </w:tabs>
        <w:spacing w:line="278" w:lineRule="auto" w:before="43" w:after="0"/>
        <w:ind w:left="1128" w:right="506" w:hanging="430"/>
        <w:jc w:val="both"/>
        <w:rPr>
          <w:sz w:val="21"/>
        </w:rPr>
      </w:pPr>
      <w:r>
        <w:rPr>
          <w:sz w:val="21"/>
        </w:rPr>
        <w:t>包括为防止与工作相关的伤害和健康损害而提供安全和健康的工作条件的承诺，并适合于组</w:t>
      </w:r>
      <w:r>
        <w:rPr>
          <w:spacing w:val="-2"/>
          <w:w w:val="95"/>
          <w:sz w:val="21"/>
        </w:rPr>
        <w:t>织的宗旨和规模、组织所处的环境，以及组织的职业健康安全风险和职业健康安全机遇的特   </w:t>
      </w:r>
      <w:r>
        <w:rPr>
          <w:spacing w:val="-2"/>
          <w:sz w:val="21"/>
        </w:rPr>
        <w:t>性；</w:t>
      </w:r>
    </w:p>
    <w:p>
      <w:pPr>
        <w:pStyle w:val="ListParagraph"/>
        <w:numPr>
          <w:ilvl w:val="0"/>
          <w:numId w:val="13"/>
        </w:numPr>
        <w:tabs>
          <w:tab w:pos="1119" w:val="left" w:leader="none"/>
        </w:tabs>
        <w:spacing w:line="269" w:lineRule="exact" w:before="0" w:after="0"/>
        <w:ind w:left="1118" w:right="0" w:hanging="421"/>
        <w:jc w:val="both"/>
        <w:rPr>
          <w:sz w:val="21"/>
        </w:rPr>
      </w:pPr>
      <w:r>
        <w:rPr>
          <w:sz w:val="21"/>
        </w:rPr>
        <w:t>为制定职业健康安全目标提供框架；</w:t>
      </w:r>
    </w:p>
    <w:p>
      <w:pPr>
        <w:pStyle w:val="ListParagraph"/>
        <w:numPr>
          <w:ilvl w:val="0"/>
          <w:numId w:val="13"/>
        </w:numPr>
        <w:tabs>
          <w:tab w:pos="1107" w:val="left" w:leader="none"/>
        </w:tabs>
        <w:spacing w:line="240" w:lineRule="auto" w:before="43" w:after="0"/>
        <w:ind w:left="1106" w:right="0" w:hanging="409"/>
        <w:jc w:val="both"/>
        <w:rPr>
          <w:sz w:val="21"/>
        </w:rPr>
      </w:pPr>
      <w:r>
        <w:rPr>
          <w:sz w:val="21"/>
        </w:rPr>
        <w:t>包括满足法律法规要求和其他要求的承诺</w:t>
      </w:r>
    </w:p>
    <w:p>
      <w:pPr>
        <w:pStyle w:val="ListParagraph"/>
        <w:numPr>
          <w:ilvl w:val="0"/>
          <w:numId w:val="13"/>
        </w:numPr>
        <w:tabs>
          <w:tab w:pos="1119" w:val="left" w:leader="none"/>
        </w:tabs>
        <w:spacing w:line="278" w:lineRule="auto" w:before="43" w:after="0"/>
        <w:ind w:left="698" w:right="3290" w:firstLine="0"/>
        <w:jc w:val="left"/>
        <w:rPr>
          <w:sz w:val="21"/>
        </w:rPr>
      </w:pPr>
      <w:r>
        <w:rPr>
          <w:spacing w:val="-1"/>
          <w:w w:val="99"/>
          <w:sz w:val="21"/>
        </w:rPr>
        <w:t>包括消除危险源和降低职业健康安全风险的承诺</w:t>
      </w:r>
      <w:r>
        <w:rPr>
          <w:spacing w:val="2"/>
          <w:w w:val="99"/>
          <w:sz w:val="21"/>
        </w:rPr>
        <w:t>（</w:t>
      </w:r>
      <w:r>
        <w:rPr>
          <w:w w:val="99"/>
          <w:sz w:val="21"/>
        </w:rPr>
        <w:t>见</w:t>
      </w:r>
      <w:r>
        <w:rPr>
          <w:spacing w:val="-53"/>
          <w:sz w:val="21"/>
        </w:rPr>
        <w:t> </w:t>
      </w:r>
      <w:r>
        <w:rPr>
          <w:rFonts w:ascii="Times New Roman" w:eastAsia="Times New Roman"/>
          <w:spacing w:val="1"/>
          <w:w w:val="99"/>
          <w:sz w:val="21"/>
        </w:rPr>
        <w:t>8</w:t>
      </w:r>
      <w:r>
        <w:rPr>
          <w:rFonts w:ascii="Times New Roman" w:eastAsia="Times New Roman"/>
          <w:w w:val="99"/>
          <w:sz w:val="21"/>
        </w:rPr>
        <w:t>.</w:t>
      </w:r>
      <w:r>
        <w:rPr>
          <w:rFonts w:ascii="Times New Roman" w:eastAsia="Times New Roman"/>
          <w:spacing w:val="1"/>
          <w:w w:val="99"/>
          <w:sz w:val="21"/>
        </w:rPr>
        <w:t>1</w:t>
      </w:r>
      <w:r>
        <w:rPr>
          <w:rFonts w:ascii="Times New Roman" w:eastAsia="Times New Roman"/>
          <w:w w:val="99"/>
          <w:sz w:val="21"/>
        </w:rPr>
        <w:t>.</w:t>
      </w:r>
      <w:r>
        <w:rPr>
          <w:rFonts w:ascii="Times New Roman" w:eastAsia="Times New Roman"/>
          <w:spacing w:val="-2"/>
          <w:w w:val="99"/>
          <w:sz w:val="21"/>
        </w:rPr>
        <w:t>2</w:t>
      </w:r>
      <w:r>
        <w:rPr>
          <w:spacing w:val="-104"/>
          <w:w w:val="99"/>
          <w:sz w:val="21"/>
        </w:rPr>
        <w:t>）</w:t>
      </w:r>
      <w:r>
        <w:rPr>
          <w:w w:val="99"/>
          <w:sz w:val="21"/>
        </w:rPr>
        <w:t>； </w:t>
      </w:r>
      <w:r>
        <w:rPr>
          <w:rFonts w:ascii="Times New Roman" w:eastAsia="Times New Roman"/>
          <w:sz w:val="21"/>
        </w:rPr>
        <w:t>e</w:t>
      </w:r>
      <w:r>
        <w:rPr>
          <w:sz w:val="21"/>
        </w:rPr>
        <w:t>）</w:t>
      </w:r>
      <w:r>
        <w:rPr>
          <w:spacing w:val="-1"/>
          <w:sz w:val="21"/>
        </w:rPr>
        <w:t> 包括持续改进职业健康安全管理体系的承诺。</w:t>
      </w:r>
    </w:p>
    <w:p>
      <w:pPr>
        <w:pStyle w:val="BodyText"/>
        <w:spacing w:line="278" w:lineRule="auto" w:before="0"/>
        <w:ind w:left="698" w:right="3904"/>
      </w:pPr>
      <w:r>
        <w:rPr>
          <w:rFonts w:ascii="Times New Roman" w:eastAsia="Times New Roman"/>
        </w:rPr>
        <w:t>f</w:t>
      </w:r>
      <w:r>
        <w:rPr/>
        <w:t>） 包括工作人员及其代表（若有）的协商和参与的承诺。职业健康安全方针应：</w:t>
      </w:r>
    </w:p>
    <w:p>
      <w:pPr>
        <w:pStyle w:val="BodyText"/>
        <w:spacing w:line="269" w:lineRule="exact" w:before="0"/>
        <w:ind w:left="703"/>
      </w:pPr>
      <w:r>
        <w:rPr/>
        <w:t>——作为文件化信息而可被获取；</w:t>
      </w:r>
    </w:p>
    <w:p>
      <w:pPr>
        <w:pStyle w:val="BodyText"/>
        <w:ind w:left="703"/>
      </w:pPr>
      <w:r>
        <w:rPr/>
        <w:t>——在组织内予以沟通；</w:t>
      </w:r>
    </w:p>
    <w:p>
      <w:pPr>
        <w:pStyle w:val="BodyText"/>
        <w:ind w:left="703"/>
      </w:pPr>
      <w:r>
        <w:rPr/>
        <w:t>——在适当时可为相关方所获取；</w:t>
      </w:r>
    </w:p>
    <w:p>
      <w:pPr>
        <w:pStyle w:val="BodyText"/>
        <w:ind w:left="703"/>
      </w:pPr>
      <w:r>
        <w:rPr/>
        <w:t>——保持相关和适宜。</w:t>
      </w:r>
    </w:p>
    <w:p>
      <w:pPr>
        <w:pStyle w:val="ListParagraph"/>
        <w:numPr>
          <w:ilvl w:val="1"/>
          <w:numId w:val="11"/>
        </w:numPr>
        <w:tabs>
          <w:tab w:pos="803" w:val="left" w:leader="none"/>
          <w:tab w:pos="804" w:val="left" w:leader="none"/>
        </w:tabs>
        <w:spacing w:line="240" w:lineRule="auto" w:before="42" w:after="0"/>
        <w:ind w:left="804" w:right="0" w:hanging="526"/>
        <w:jc w:val="left"/>
        <w:rPr>
          <w:rFonts w:ascii="黑体" w:eastAsia="黑体" w:hint="eastAsia"/>
          <w:sz w:val="21"/>
        </w:rPr>
      </w:pPr>
      <w:bookmarkStart w:name="5.3　组织的角色、职责和权限" w:id="76"/>
      <w:bookmarkEnd w:id="76"/>
      <w:r>
        <w:rPr/>
      </w:r>
      <w:bookmarkStart w:name="_bookmark14" w:id="77"/>
      <w:bookmarkEnd w:id="77"/>
      <w:r>
        <w:rPr>
          <w:rFonts w:ascii="黑体" w:eastAsia="黑体" w:hint="eastAsia"/>
          <w:sz w:val="21"/>
        </w:rPr>
        <w:t>组织的角色、职责和权限</w:t>
      </w:r>
    </w:p>
    <w:p>
      <w:pPr>
        <w:pStyle w:val="BodyText"/>
        <w:spacing w:line="278" w:lineRule="auto"/>
        <w:ind w:left="278" w:right="506" w:firstLine="420"/>
        <w:jc w:val="both"/>
      </w:pPr>
      <w:r>
        <w:rPr>
          <w:w w:val="95"/>
        </w:rPr>
        <w:t>最高管理者应确保将职业健康安全管理体系内相关角色的职责和权限分配到组织内各层次并予以   沟通，且作为文件化信息予以保持。组织内每一层次的工作人员均应为其所控制部分承担职业健康安   </w:t>
      </w:r>
      <w:r>
        <w:rPr/>
        <w:t>全管理体系方面的职责。</w:t>
      </w:r>
    </w:p>
    <w:p>
      <w:pPr>
        <w:spacing w:before="20"/>
        <w:ind w:left="700" w:right="0" w:firstLine="0"/>
        <w:jc w:val="left"/>
        <w:rPr>
          <w:sz w:val="18"/>
        </w:rPr>
      </w:pPr>
      <w:r>
        <w:rPr>
          <w:sz w:val="18"/>
        </w:rPr>
        <w:t>注1：尽管职责和权限可以被分配，但最高管理者仍应为职业健康安全管理体系的运行承担最终责任。</w:t>
      </w:r>
    </w:p>
    <w:p>
      <w:pPr>
        <w:spacing w:line="324" w:lineRule="auto" w:before="82"/>
        <w:ind w:left="1128" w:right="498" w:hanging="428"/>
        <w:jc w:val="left"/>
        <w:rPr>
          <w:sz w:val="18"/>
        </w:rPr>
      </w:pPr>
      <w:r>
        <w:rPr>
          <w:sz w:val="18"/>
        </w:rPr>
        <w:t>注</w:t>
      </w:r>
      <w:r>
        <w:rPr>
          <w:spacing w:val="-17"/>
          <w:sz w:val="18"/>
        </w:rPr>
        <w:t>2</w:t>
      </w:r>
      <w:r>
        <w:rPr>
          <w:spacing w:val="-8"/>
          <w:sz w:val="18"/>
        </w:rPr>
        <w:t>：对于原国际标准中的单词“</w:t>
      </w:r>
      <w:r>
        <w:rPr>
          <w:spacing w:val="-9"/>
          <w:sz w:val="18"/>
        </w:rPr>
        <w:t>roles</w:t>
      </w:r>
      <w:r>
        <w:rPr>
          <w:spacing w:val="-12"/>
          <w:sz w:val="18"/>
        </w:rPr>
        <w:t>”，本标准译为“角色”，与</w:t>
      </w:r>
      <w:r>
        <w:rPr>
          <w:sz w:val="18"/>
        </w:rPr>
        <w:t>GB/T 24001—2016</w:t>
      </w:r>
      <w:r>
        <w:rPr>
          <w:spacing w:val="-8"/>
          <w:sz w:val="18"/>
        </w:rPr>
        <w:t>相同；但在</w:t>
      </w:r>
      <w:r>
        <w:rPr>
          <w:sz w:val="18"/>
        </w:rPr>
        <w:t>GB/T 19001</w:t>
      </w:r>
      <w:r>
        <w:rPr>
          <w:rFonts w:ascii="Times New Roman" w:hAnsi="Times New Roman" w:eastAsia="Times New Roman"/>
          <w:sz w:val="18"/>
        </w:rPr>
        <w:t>—</w:t>
      </w:r>
      <w:r>
        <w:rPr>
          <w:sz w:val="18"/>
        </w:rPr>
        <w:t>2016 中，则译为“岗位”，与本标准的“角色”具有相同的含义。</w:t>
      </w:r>
    </w:p>
    <w:p>
      <w:pPr>
        <w:pStyle w:val="BodyText"/>
        <w:spacing w:line="250" w:lineRule="exact" w:before="0"/>
        <w:ind w:left="698"/>
      </w:pPr>
      <w:r>
        <w:rPr/>
        <w:t>最高管理者应对下列事项分配职责和权限：</w:t>
      </w:r>
    </w:p>
    <w:p>
      <w:pPr>
        <w:pStyle w:val="BodyText"/>
        <w:spacing w:line="278" w:lineRule="auto"/>
        <w:ind w:left="698" w:right="4392"/>
      </w:pPr>
      <w:r>
        <w:rPr>
          <w:rFonts w:ascii="Times New Roman" w:eastAsia="Times New Roman"/>
        </w:rPr>
        <w:t>a</w:t>
      </w:r>
      <w:r>
        <w:rPr/>
        <w:t>）确保职业健康安全管理体系符合本标准的要求； </w:t>
      </w:r>
      <w:r>
        <w:rPr>
          <w:rFonts w:ascii="Times New Roman" w:eastAsia="Times New Roman"/>
          <w:w w:val="95"/>
        </w:rPr>
        <w:t>b</w:t>
      </w:r>
      <w:r>
        <w:rPr>
          <w:w w:val="95"/>
        </w:rPr>
        <w:t>）向最高管理者报告职业健康安全管理体系的绩效。</w:t>
      </w:r>
    </w:p>
    <w:p>
      <w:pPr>
        <w:pStyle w:val="ListParagraph"/>
        <w:numPr>
          <w:ilvl w:val="1"/>
          <w:numId w:val="11"/>
        </w:numPr>
        <w:tabs>
          <w:tab w:pos="803" w:val="left" w:leader="none"/>
          <w:tab w:pos="804" w:val="left" w:leader="none"/>
        </w:tabs>
        <w:spacing w:line="269" w:lineRule="exact" w:before="0" w:after="0"/>
        <w:ind w:left="804" w:right="0" w:hanging="526"/>
        <w:jc w:val="left"/>
        <w:rPr>
          <w:rFonts w:ascii="黑体" w:eastAsia="黑体" w:hint="eastAsia"/>
          <w:sz w:val="21"/>
        </w:rPr>
      </w:pPr>
      <w:bookmarkStart w:name="5.4　工作人员的协商和参与" w:id="78"/>
      <w:bookmarkEnd w:id="78"/>
      <w:r>
        <w:rPr/>
      </w:r>
      <w:bookmarkStart w:name="_bookmark15" w:id="79"/>
      <w:bookmarkEnd w:id="79"/>
      <w:r>
        <w:rPr>
          <w:rFonts w:ascii="黑体" w:eastAsia="黑体" w:hint="eastAsia"/>
          <w:sz w:val="21"/>
        </w:rPr>
        <w:t>工作人员的协商和参与</w:t>
      </w:r>
    </w:p>
    <w:p>
      <w:pPr>
        <w:pStyle w:val="BodyText"/>
        <w:spacing w:line="278" w:lineRule="auto"/>
        <w:ind w:left="278" w:right="508" w:firstLine="420"/>
      </w:pPr>
      <w:r>
        <w:rPr>
          <w:w w:val="95"/>
        </w:rPr>
        <w:t>组织应建立、实施和保持过程，用于在职业健康安全管理体系的开发、策划、实施、绩效评价和   </w:t>
      </w:r>
      <w:r>
        <w:rPr/>
        <w:t>改进措施中与所有适用层次和职能的工作人员及其代表（若有）的协商和参与。</w:t>
      </w:r>
    </w:p>
    <w:p>
      <w:pPr>
        <w:pStyle w:val="BodyText"/>
        <w:spacing w:line="269" w:lineRule="exact" w:before="0"/>
        <w:ind w:left="698"/>
      </w:pPr>
      <w:r>
        <w:rPr/>
        <w:t>组织应：</w:t>
      </w:r>
    </w:p>
    <w:p>
      <w:pPr>
        <w:pStyle w:val="ListParagraph"/>
        <w:numPr>
          <w:ilvl w:val="0"/>
          <w:numId w:val="14"/>
        </w:numPr>
        <w:tabs>
          <w:tab w:pos="1002" w:val="left" w:leader="none"/>
        </w:tabs>
        <w:spacing w:line="240" w:lineRule="auto" w:before="43" w:after="0"/>
        <w:ind w:left="1002" w:right="0" w:hanging="304"/>
        <w:jc w:val="left"/>
        <w:rPr>
          <w:sz w:val="21"/>
        </w:rPr>
      </w:pPr>
      <w:r>
        <w:rPr>
          <w:sz w:val="21"/>
        </w:rPr>
        <w:t>为协商和参与提供必要的机制、时间、培训和资源；</w:t>
      </w:r>
    </w:p>
    <w:p>
      <w:pPr>
        <w:spacing w:before="63"/>
        <w:ind w:left="988" w:right="0" w:firstLine="0"/>
        <w:jc w:val="left"/>
        <w:rPr>
          <w:sz w:val="18"/>
        </w:rPr>
      </w:pPr>
      <w:r>
        <w:rPr>
          <w:sz w:val="18"/>
        </w:rPr>
        <w:t>注1：工作人员代表可视为一种协商和参与机制。</w:t>
      </w:r>
    </w:p>
    <w:p>
      <w:pPr>
        <w:pStyle w:val="ListParagraph"/>
        <w:numPr>
          <w:ilvl w:val="0"/>
          <w:numId w:val="14"/>
        </w:numPr>
        <w:tabs>
          <w:tab w:pos="1014" w:val="left" w:leader="none"/>
        </w:tabs>
        <w:spacing w:line="278" w:lineRule="auto" w:before="61" w:after="0"/>
        <w:ind w:left="698" w:right="1663" w:firstLine="0"/>
        <w:jc w:val="left"/>
        <w:rPr>
          <w:sz w:val="21"/>
        </w:rPr>
      </w:pPr>
      <w:r>
        <w:rPr>
          <w:w w:val="95"/>
          <w:sz w:val="21"/>
        </w:rPr>
        <w:t>及时提供对明确的、易理解的和相关的职业健康安全管理体系信息的访问渠道； </w:t>
      </w:r>
      <w:r>
        <w:rPr>
          <w:rFonts w:ascii="Times New Roman" w:eastAsia="Times New Roman"/>
          <w:sz w:val="21"/>
        </w:rPr>
        <w:t>c</w:t>
      </w:r>
      <w:r>
        <w:rPr>
          <w:sz w:val="21"/>
        </w:rPr>
        <w:t>）确定和消除妨碍参与的障碍或壁垒，并尽可能减少那些难以消除的障碍或壁垒；</w:t>
      </w:r>
    </w:p>
    <w:p>
      <w:pPr>
        <w:spacing w:line="324" w:lineRule="auto" w:before="20"/>
        <w:ind w:left="1408" w:right="504" w:hanging="423"/>
        <w:jc w:val="left"/>
        <w:rPr>
          <w:sz w:val="18"/>
        </w:rPr>
      </w:pPr>
      <w:r>
        <w:rPr>
          <w:sz w:val="18"/>
        </w:rPr>
        <w:t>注</w:t>
      </w:r>
      <w:r>
        <w:rPr>
          <w:spacing w:val="-4"/>
          <w:sz w:val="18"/>
        </w:rPr>
        <w:t>2</w:t>
      </w:r>
      <w:r>
        <w:rPr>
          <w:spacing w:val="-5"/>
          <w:sz w:val="18"/>
        </w:rPr>
        <w:t>：障碍和壁垒可包括未回应工作人员的意见和建议，语言或读写障碍，报复或威胁报复，以及不鼓励或惩</w:t>
      </w:r>
      <w:r>
        <w:rPr>
          <w:sz w:val="18"/>
        </w:rPr>
        <w:t>罚工作人员参与的政策或惯例等。</w:t>
      </w:r>
    </w:p>
    <w:p>
      <w:pPr>
        <w:pStyle w:val="ListParagraph"/>
        <w:numPr>
          <w:ilvl w:val="0"/>
          <w:numId w:val="15"/>
        </w:numPr>
        <w:tabs>
          <w:tab w:pos="1014" w:val="left" w:leader="none"/>
        </w:tabs>
        <w:spacing w:line="250" w:lineRule="exact" w:before="0" w:after="0"/>
        <w:ind w:left="1014" w:right="0" w:hanging="316"/>
        <w:jc w:val="left"/>
        <w:rPr>
          <w:sz w:val="21"/>
        </w:rPr>
      </w:pPr>
      <w:r>
        <w:rPr>
          <w:sz w:val="21"/>
        </w:rPr>
        <w:t>强调与非管理类工作人员在如下方面的协商：</w:t>
      </w:r>
    </w:p>
    <w:p>
      <w:pPr>
        <w:pStyle w:val="ListParagraph"/>
        <w:numPr>
          <w:ilvl w:val="1"/>
          <w:numId w:val="15"/>
        </w:numPr>
        <w:tabs>
          <w:tab w:pos="1302" w:val="left" w:leader="none"/>
        </w:tabs>
        <w:spacing w:line="240" w:lineRule="auto" w:before="43" w:after="0"/>
        <w:ind w:left="1302" w:right="0" w:hanging="316"/>
        <w:jc w:val="left"/>
        <w:rPr>
          <w:sz w:val="21"/>
        </w:rPr>
      </w:pPr>
      <w:r>
        <w:rPr>
          <w:spacing w:val="-1"/>
          <w:w w:val="99"/>
          <w:sz w:val="21"/>
        </w:rPr>
        <w:t>确定相关方的需求和期望（</w:t>
      </w:r>
      <w:r>
        <w:rPr>
          <w:w w:val="99"/>
          <w:sz w:val="21"/>
        </w:rPr>
        <w:t>见</w:t>
      </w:r>
      <w:r>
        <w:rPr>
          <w:spacing w:val="-53"/>
          <w:sz w:val="21"/>
        </w:rPr>
        <w:t> </w:t>
      </w:r>
      <w:r>
        <w:rPr>
          <w:rFonts w:ascii="Times New Roman" w:eastAsia="Times New Roman"/>
          <w:spacing w:val="1"/>
          <w:w w:val="99"/>
          <w:sz w:val="21"/>
        </w:rPr>
        <w:t>4</w:t>
      </w:r>
      <w:r>
        <w:rPr>
          <w:rFonts w:ascii="Times New Roman" w:eastAsia="Times New Roman"/>
          <w:w w:val="99"/>
          <w:sz w:val="21"/>
        </w:rPr>
        <w:t>.</w:t>
      </w:r>
      <w:r>
        <w:rPr>
          <w:rFonts w:ascii="Times New Roman" w:eastAsia="Times New Roman"/>
          <w:spacing w:val="1"/>
          <w:w w:val="99"/>
          <w:sz w:val="21"/>
        </w:rPr>
        <w:t>2</w:t>
      </w:r>
      <w:r>
        <w:rPr>
          <w:spacing w:val="-104"/>
          <w:w w:val="99"/>
          <w:sz w:val="21"/>
        </w:rPr>
        <w:t>）</w:t>
      </w:r>
      <w:r>
        <w:rPr>
          <w:w w:val="99"/>
          <w:sz w:val="21"/>
        </w:rPr>
        <w:t>；</w:t>
      </w:r>
    </w:p>
    <w:p>
      <w:pPr>
        <w:pStyle w:val="ListParagraph"/>
        <w:numPr>
          <w:ilvl w:val="1"/>
          <w:numId w:val="15"/>
        </w:numPr>
        <w:tabs>
          <w:tab w:pos="1302" w:val="left" w:leader="none"/>
        </w:tabs>
        <w:spacing w:line="240" w:lineRule="auto" w:before="43" w:after="0"/>
        <w:ind w:left="1302" w:right="0" w:hanging="316"/>
        <w:jc w:val="left"/>
        <w:rPr>
          <w:sz w:val="21"/>
        </w:rPr>
      </w:pPr>
      <w:r>
        <w:rPr>
          <w:spacing w:val="-1"/>
          <w:w w:val="99"/>
          <w:sz w:val="21"/>
        </w:rPr>
        <w:t>建立职业健康安全方针</w:t>
      </w:r>
      <w:r>
        <w:rPr>
          <w:spacing w:val="2"/>
          <w:w w:val="99"/>
          <w:sz w:val="21"/>
        </w:rPr>
        <w:t>（</w:t>
      </w:r>
      <w:r>
        <w:rPr>
          <w:w w:val="99"/>
          <w:sz w:val="21"/>
        </w:rPr>
        <w:t>见</w:t>
      </w:r>
      <w:r>
        <w:rPr>
          <w:spacing w:val="-53"/>
          <w:sz w:val="21"/>
        </w:rPr>
        <w:t> </w:t>
      </w:r>
      <w:r>
        <w:rPr>
          <w:rFonts w:ascii="Times New Roman" w:eastAsia="Times New Roman"/>
          <w:spacing w:val="1"/>
          <w:w w:val="99"/>
          <w:sz w:val="21"/>
        </w:rPr>
        <w:t>5</w:t>
      </w:r>
      <w:r>
        <w:rPr>
          <w:rFonts w:ascii="Times New Roman" w:eastAsia="Times New Roman"/>
          <w:w w:val="99"/>
          <w:sz w:val="21"/>
        </w:rPr>
        <w:t>.</w:t>
      </w:r>
      <w:r>
        <w:rPr>
          <w:rFonts w:ascii="Times New Roman" w:eastAsia="Times New Roman"/>
          <w:spacing w:val="-2"/>
          <w:w w:val="99"/>
          <w:sz w:val="21"/>
        </w:rPr>
        <w:t>2</w:t>
      </w:r>
      <w:r>
        <w:rPr>
          <w:spacing w:val="-104"/>
          <w:w w:val="99"/>
          <w:sz w:val="21"/>
        </w:rPr>
        <w:t>）</w:t>
      </w:r>
      <w:r>
        <w:rPr>
          <w:w w:val="99"/>
          <w:sz w:val="21"/>
        </w:rPr>
        <w:t>；</w:t>
      </w:r>
    </w:p>
    <w:p>
      <w:pPr>
        <w:pStyle w:val="ListParagraph"/>
        <w:numPr>
          <w:ilvl w:val="1"/>
          <w:numId w:val="15"/>
        </w:numPr>
        <w:tabs>
          <w:tab w:pos="1302" w:val="left" w:leader="none"/>
        </w:tabs>
        <w:spacing w:line="240" w:lineRule="auto" w:before="43" w:after="0"/>
        <w:ind w:left="1302" w:right="0" w:hanging="316"/>
        <w:jc w:val="left"/>
        <w:rPr>
          <w:sz w:val="21"/>
        </w:rPr>
      </w:pPr>
      <w:r>
        <w:rPr>
          <w:spacing w:val="-1"/>
          <w:w w:val="99"/>
          <w:sz w:val="21"/>
        </w:rPr>
        <w:t>适用时，分配组织的角色、职责和权限（</w:t>
      </w:r>
      <w:r>
        <w:rPr>
          <w:w w:val="99"/>
          <w:sz w:val="21"/>
        </w:rPr>
        <w:t>见</w:t>
      </w:r>
      <w:r>
        <w:rPr>
          <w:spacing w:val="-53"/>
          <w:sz w:val="21"/>
        </w:rPr>
        <w:t> </w:t>
      </w:r>
      <w:r>
        <w:rPr>
          <w:rFonts w:ascii="Times New Roman" w:eastAsia="Times New Roman"/>
          <w:spacing w:val="1"/>
          <w:w w:val="99"/>
          <w:sz w:val="21"/>
        </w:rPr>
        <w:t>5</w:t>
      </w:r>
      <w:r>
        <w:rPr>
          <w:rFonts w:ascii="Times New Roman" w:eastAsia="Times New Roman"/>
          <w:w w:val="99"/>
          <w:sz w:val="21"/>
        </w:rPr>
        <w:t>.</w:t>
      </w:r>
      <w:r>
        <w:rPr>
          <w:rFonts w:ascii="Times New Roman" w:eastAsia="Times New Roman"/>
          <w:spacing w:val="1"/>
          <w:w w:val="99"/>
          <w:sz w:val="21"/>
        </w:rPr>
        <w:t>3</w:t>
      </w:r>
      <w:r>
        <w:rPr>
          <w:spacing w:val="-104"/>
          <w:w w:val="99"/>
          <w:sz w:val="21"/>
        </w:rPr>
        <w:t>）</w:t>
      </w:r>
      <w:r>
        <w:rPr>
          <w:w w:val="99"/>
          <w:sz w:val="21"/>
        </w:rPr>
        <w:t>；</w:t>
      </w:r>
    </w:p>
    <w:p>
      <w:pPr>
        <w:pStyle w:val="ListParagraph"/>
        <w:numPr>
          <w:ilvl w:val="1"/>
          <w:numId w:val="15"/>
        </w:numPr>
        <w:tabs>
          <w:tab w:pos="1302" w:val="left" w:leader="none"/>
        </w:tabs>
        <w:spacing w:line="240" w:lineRule="auto" w:before="43" w:after="0"/>
        <w:ind w:left="1302" w:right="0" w:hanging="316"/>
        <w:jc w:val="left"/>
        <w:rPr>
          <w:sz w:val="21"/>
        </w:rPr>
      </w:pPr>
      <w:r>
        <w:rPr>
          <w:spacing w:val="-1"/>
          <w:w w:val="99"/>
          <w:sz w:val="21"/>
        </w:rPr>
        <w:t>确定如何满足法律法规要求和其他要求（</w:t>
      </w:r>
      <w:r>
        <w:rPr>
          <w:w w:val="99"/>
          <w:sz w:val="21"/>
        </w:rPr>
        <w:t>见</w:t>
      </w:r>
      <w:r>
        <w:rPr>
          <w:spacing w:val="-53"/>
          <w:sz w:val="21"/>
        </w:rPr>
        <w:t> </w:t>
      </w:r>
      <w:r>
        <w:rPr>
          <w:rFonts w:ascii="Times New Roman" w:eastAsia="Times New Roman"/>
          <w:spacing w:val="1"/>
          <w:w w:val="99"/>
          <w:sz w:val="21"/>
        </w:rPr>
        <w:t>6</w:t>
      </w:r>
      <w:r>
        <w:rPr>
          <w:rFonts w:ascii="Times New Roman" w:eastAsia="Times New Roman"/>
          <w:w w:val="99"/>
          <w:sz w:val="21"/>
        </w:rPr>
        <w:t>.</w:t>
      </w:r>
      <w:r>
        <w:rPr>
          <w:rFonts w:ascii="Times New Roman" w:eastAsia="Times New Roman"/>
          <w:spacing w:val="1"/>
          <w:w w:val="99"/>
          <w:sz w:val="21"/>
        </w:rPr>
        <w:t>1</w:t>
      </w:r>
      <w:r>
        <w:rPr>
          <w:rFonts w:ascii="Times New Roman" w:eastAsia="Times New Roman"/>
          <w:w w:val="99"/>
          <w:sz w:val="21"/>
        </w:rPr>
        <w:t>.</w:t>
      </w:r>
      <w:r>
        <w:rPr>
          <w:rFonts w:ascii="Times New Roman" w:eastAsia="Times New Roman"/>
          <w:spacing w:val="-2"/>
          <w:w w:val="99"/>
          <w:sz w:val="21"/>
        </w:rPr>
        <w:t>3</w:t>
      </w:r>
      <w:r>
        <w:rPr>
          <w:spacing w:val="-104"/>
          <w:w w:val="99"/>
          <w:sz w:val="21"/>
        </w:rPr>
        <w:t>）</w:t>
      </w:r>
      <w:r>
        <w:rPr>
          <w:w w:val="99"/>
          <w:sz w:val="21"/>
        </w:rPr>
        <w:t>；</w:t>
      </w:r>
    </w:p>
    <w:p>
      <w:pPr>
        <w:pStyle w:val="ListParagraph"/>
        <w:numPr>
          <w:ilvl w:val="1"/>
          <w:numId w:val="15"/>
        </w:numPr>
        <w:tabs>
          <w:tab w:pos="1302" w:val="left" w:leader="none"/>
        </w:tabs>
        <w:spacing w:line="240" w:lineRule="auto" w:before="43" w:after="0"/>
        <w:ind w:left="1302" w:right="0" w:hanging="316"/>
        <w:jc w:val="left"/>
        <w:rPr>
          <w:sz w:val="21"/>
        </w:rPr>
      </w:pPr>
      <w:r>
        <w:rPr>
          <w:spacing w:val="-1"/>
          <w:w w:val="99"/>
          <w:sz w:val="21"/>
        </w:rPr>
        <w:t>制定职业健康安全目标并为其实现进行策划（</w:t>
      </w:r>
      <w:r>
        <w:rPr>
          <w:w w:val="99"/>
          <w:sz w:val="21"/>
        </w:rPr>
        <w:t>见</w:t>
      </w:r>
      <w:r>
        <w:rPr>
          <w:spacing w:val="-53"/>
          <w:sz w:val="21"/>
        </w:rPr>
        <w:t> </w:t>
      </w:r>
      <w:r>
        <w:rPr>
          <w:rFonts w:ascii="Times New Roman" w:eastAsia="Times New Roman"/>
          <w:spacing w:val="1"/>
          <w:w w:val="99"/>
          <w:sz w:val="21"/>
        </w:rPr>
        <w:t>6</w:t>
      </w:r>
      <w:r>
        <w:rPr>
          <w:rFonts w:ascii="Times New Roman" w:eastAsia="Times New Roman"/>
          <w:w w:val="99"/>
          <w:sz w:val="21"/>
        </w:rPr>
        <w:t>.</w:t>
      </w:r>
      <w:r>
        <w:rPr>
          <w:rFonts w:ascii="Times New Roman" w:eastAsia="Times New Roman"/>
          <w:spacing w:val="1"/>
          <w:w w:val="99"/>
          <w:sz w:val="21"/>
        </w:rPr>
        <w:t>2</w:t>
      </w:r>
      <w:r>
        <w:rPr>
          <w:spacing w:val="-104"/>
          <w:w w:val="99"/>
          <w:sz w:val="21"/>
        </w:rPr>
        <w:t>）</w:t>
      </w:r>
      <w:r>
        <w:rPr>
          <w:w w:val="99"/>
          <w:sz w:val="21"/>
        </w:rPr>
        <w:t>；</w:t>
      </w:r>
    </w:p>
    <w:p>
      <w:pPr>
        <w:pStyle w:val="ListParagraph"/>
        <w:numPr>
          <w:ilvl w:val="1"/>
          <w:numId w:val="15"/>
        </w:numPr>
        <w:tabs>
          <w:tab w:pos="1302" w:val="left" w:leader="none"/>
        </w:tabs>
        <w:spacing w:line="240" w:lineRule="auto" w:before="43" w:after="0"/>
        <w:ind w:left="1302" w:right="0" w:hanging="316"/>
        <w:jc w:val="left"/>
        <w:rPr>
          <w:sz w:val="21"/>
        </w:rPr>
      </w:pPr>
      <w:r>
        <w:rPr>
          <w:spacing w:val="-1"/>
          <w:w w:val="99"/>
          <w:sz w:val="21"/>
        </w:rPr>
        <w:t>确定对外包、采购和承包方的适用控制（</w:t>
      </w:r>
      <w:r>
        <w:rPr>
          <w:w w:val="99"/>
          <w:sz w:val="21"/>
        </w:rPr>
        <w:t>见</w:t>
      </w:r>
      <w:r>
        <w:rPr>
          <w:spacing w:val="-53"/>
          <w:sz w:val="21"/>
        </w:rPr>
        <w:t> </w:t>
      </w:r>
      <w:r>
        <w:rPr>
          <w:rFonts w:ascii="Times New Roman" w:eastAsia="Times New Roman"/>
          <w:spacing w:val="1"/>
          <w:w w:val="99"/>
          <w:sz w:val="21"/>
        </w:rPr>
        <w:t>8</w:t>
      </w:r>
      <w:r>
        <w:rPr>
          <w:rFonts w:ascii="Times New Roman" w:eastAsia="Times New Roman"/>
          <w:w w:val="99"/>
          <w:sz w:val="21"/>
        </w:rPr>
        <w:t>.</w:t>
      </w:r>
      <w:r>
        <w:rPr>
          <w:rFonts w:ascii="Times New Roman" w:eastAsia="Times New Roman"/>
          <w:spacing w:val="1"/>
          <w:w w:val="99"/>
          <w:sz w:val="21"/>
        </w:rPr>
        <w:t>1</w:t>
      </w:r>
      <w:r>
        <w:rPr>
          <w:rFonts w:ascii="Times New Roman" w:eastAsia="Times New Roman"/>
          <w:w w:val="99"/>
          <w:sz w:val="21"/>
        </w:rPr>
        <w:t>.</w:t>
      </w:r>
      <w:r>
        <w:rPr>
          <w:rFonts w:ascii="Times New Roman" w:eastAsia="Times New Roman"/>
          <w:spacing w:val="-2"/>
          <w:w w:val="99"/>
          <w:sz w:val="21"/>
        </w:rPr>
        <w:t>4</w:t>
      </w:r>
      <w:r>
        <w:rPr>
          <w:spacing w:val="-104"/>
          <w:w w:val="99"/>
          <w:sz w:val="21"/>
        </w:rPr>
        <w:t>）</w:t>
      </w:r>
      <w:r>
        <w:rPr>
          <w:w w:val="99"/>
          <w:sz w:val="21"/>
        </w:rPr>
        <w:t>；</w:t>
      </w:r>
    </w:p>
    <w:p>
      <w:pPr>
        <w:pStyle w:val="ListParagraph"/>
        <w:numPr>
          <w:ilvl w:val="1"/>
          <w:numId w:val="15"/>
        </w:numPr>
        <w:tabs>
          <w:tab w:pos="1302" w:val="left" w:leader="none"/>
        </w:tabs>
        <w:spacing w:line="240" w:lineRule="auto" w:before="43" w:after="0"/>
        <w:ind w:left="1302" w:right="0" w:hanging="316"/>
        <w:jc w:val="left"/>
        <w:rPr>
          <w:sz w:val="21"/>
        </w:rPr>
      </w:pPr>
      <w:r>
        <w:rPr>
          <w:spacing w:val="-1"/>
          <w:w w:val="99"/>
          <w:sz w:val="21"/>
        </w:rPr>
        <w:t>确定所需监视、测量和评价的内容（</w:t>
      </w:r>
      <w:r>
        <w:rPr>
          <w:w w:val="99"/>
          <w:sz w:val="21"/>
        </w:rPr>
        <w:t>见</w:t>
      </w:r>
      <w:r>
        <w:rPr>
          <w:spacing w:val="-53"/>
          <w:sz w:val="21"/>
        </w:rPr>
        <w:t> </w:t>
      </w:r>
      <w:r>
        <w:rPr>
          <w:rFonts w:ascii="Times New Roman" w:eastAsia="Times New Roman"/>
          <w:spacing w:val="1"/>
          <w:w w:val="99"/>
          <w:sz w:val="21"/>
        </w:rPr>
        <w:t>9</w:t>
      </w:r>
      <w:r>
        <w:rPr>
          <w:rFonts w:ascii="Times New Roman" w:eastAsia="Times New Roman"/>
          <w:w w:val="99"/>
          <w:sz w:val="21"/>
        </w:rPr>
        <w:t>.</w:t>
      </w:r>
      <w:r>
        <w:rPr>
          <w:rFonts w:ascii="Times New Roman" w:eastAsia="Times New Roman"/>
          <w:spacing w:val="1"/>
          <w:w w:val="99"/>
          <w:sz w:val="21"/>
        </w:rPr>
        <w:t>1</w:t>
      </w:r>
      <w:r>
        <w:rPr>
          <w:spacing w:val="-104"/>
          <w:w w:val="99"/>
          <w:sz w:val="21"/>
        </w:rPr>
        <w:t>）</w:t>
      </w:r>
      <w:r>
        <w:rPr>
          <w:w w:val="99"/>
          <w:sz w:val="21"/>
        </w:rPr>
        <w:t>；</w:t>
      </w:r>
    </w:p>
    <w:p>
      <w:pPr>
        <w:spacing w:after="0" w:line="240" w:lineRule="auto"/>
        <w:jc w:val="left"/>
        <w:rPr>
          <w:sz w:val="21"/>
        </w:rPr>
        <w:sectPr>
          <w:pgSz w:w="11910" w:h="16840"/>
          <w:pgMar w:header="1442" w:footer="850" w:top="1660" w:bottom="1040" w:left="1140" w:right="740"/>
        </w:sectPr>
      </w:pPr>
    </w:p>
    <w:p>
      <w:pPr>
        <w:pStyle w:val="ListParagraph"/>
        <w:numPr>
          <w:ilvl w:val="1"/>
          <w:numId w:val="15"/>
        </w:numPr>
        <w:tabs>
          <w:tab w:pos="1302" w:val="left" w:leader="none"/>
        </w:tabs>
        <w:spacing w:line="240" w:lineRule="auto" w:before="157" w:after="0"/>
        <w:ind w:left="1302" w:right="0" w:hanging="316"/>
        <w:jc w:val="left"/>
        <w:rPr>
          <w:sz w:val="21"/>
        </w:rPr>
      </w:pPr>
      <w:r>
        <w:rPr>
          <w:spacing w:val="-1"/>
          <w:w w:val="99"/>
          <w:sz w:val="21"/>
        </w:rPr>
        <w:t>策划、建立、实施和保持审核方案（</w:t>
      </w:r>
      <w:r>
        <w:rPr>
          <w:w w:val="99"/>
          <w:sz w:val="21"/>
        </w:rPr>
        <w:t>见</w:t>
      </w:r>
      <w:r>
        <w:rPr>
          <w:spacing w:val="-53"/>
          <w:sz w:val="21"/>
        </w:rPr>
        <w:t> </w:t>
      </w:r>
      <w:r>
        <w:rPr>
          <w:rFonts w:ascii="Times New Roman" w:eastAsia="Times New Roman"/>
          <w:spacing w:val="1"/>
          <w:w w:val="99"/>
          <w:sz w:val="21"/>
        </w:rPr>
        <w:t>9</w:t>
      </w:r>
      <w:r>
        <w:rPr>
          <w:rFonts w:ascii="Times New Roman" w:eastAsia="Times New Roman"/>
          <w:w w:val="99"/>
          <w:sz w:val="21"/>
        </w:rPr>
        <w:t>.</w:t>
      </w:r>
      <w:r>
        <w:rPr>
          <w:rFonts w:ascii="Times New Roman" w:eastAsia="Times New Roman"/>
          <w:spacing w:val="1"/>
          <w:w w:val="99"/>
          <w:sz w:val="21"/>
        </w:rPr>
        <w:t>2</w:t>
      </w:r>
      <w:r>
        <w:rPr>
          <w:rFonts w:ascii="Times New Roman" w:eastAsia="Times New Roman"/>
          <w:w w:val="99"/>
          <w:sz w:val="21"/>
        </w:rPr>
        <w:t>.</w:t>
      </w:r>
      <w:r>
        <w:rPr>
          <w:rFonts w:ascii="Times New Roman" w:eastAsia="Times New Roman"/>
          <w:spacing w:val="-2"/>
          <w:w w:val="99"/>
          <w:sz w:val="21"/>
        </w:rPr>
        <w:t>2</w:t>
      </w:r>
      <w:r>
        <w:rPr>
          <w:spacing w:val="-104"/>
          <w:w w:val="99"/>
          <w:sz w:val="21"/>
        </w:rPr>
        <w:t>）</w:t>
      </w:r>
      <w:r>
        <w:rPr>
          <w:w w:val="99"/>
          <w:sz w:val="21"/>
        </w:rPr>
        <w:t>；</w:t>
      </w:r>
    </w:p>
    <w:p>
      <w:pPr>
        <w:pStyle w:val="ListParagraph"/>
        <w:numPr>
          <w:ilvl w:val="1"/>
          <w:numId w:val="15"/>
        </w:numPr>
        <w:tabs>
          <w:tab w:pos="1302" w:val="left" w:leader="none"/>
        </w:tabs>
        <w:spacing w:line="240" w:lineRule="auto" w:before="43" w:after="0"/>
        <w:ind w:left="1302" w:right="0" w:hanging="316"/>
        <w:jc w:val="left"/>
        <w:rPr>
          <w:sz w:val="21"/>
        </w:rPr>
      </w:pPr>
      <w:r>
        <w:rPr>
          <w:spacing w:val="-1"/>
          <w:w w:val="99"/>
          <w:sz w:val="21"/>
        </w:rPr>
        <w:t>确保持续改进</w:t>
      </w:r>
      <w:r>
        <w:rPr>
          <w:spacing w:val="2"/>
          <w:w w:val="99"/>
          <w:sz w:val="21"/>
        </w:rPr>
        <w:t>（</w:t>
      </w:r>
      <w:r>
        <w:rPr>
          <w:w w:val="99"/>
          <w:sz w:val="21"/>
        </w:rPr>
        <w:t>见</w:t>
      </w:r>
      <w:r>
        <w:rPr>
          <w:spacing w:val="-53"/>
          <w:sz w:val="21"/>
        </w:rPr>
        <w:t> </w:t>
      </w:r>
      <w:r>
        <w:rPr>
          <w:rFonts w:ascii="Times New Roman" w:eastAsia="Times New Roman"/>
          <w:spacing w:val="1"/>
          <w:w w:val="99"/>
          <w:sz w:val="21"/>
        </w:rPr>
        <w:t>10</w:t>
      </w:r>
      <w:r>
        <w:rPr>
          <w:rFonts w:ascii="Times New Roman" w:eastAsia="Times New Roman"/>
          <w:w w:val="99"/>
          <w:sz w:val="21"/>
        </w:rPr>
        <w:t>.</w:t>
      </w:r>
      <w:r>
        <w:rPr>
          <w:rFonts w:ascii="Times New Roman" w:eastAsia="Times New Roman"/>
          <w:spacing w:val="-2"/>
          <w:w w:val="99"/>
          <w:sz w:val="21"/>
        </w:rPr>
        <w:t>3</w:t>
      </w:r>
      <w:r>
        <w:rPr>
          <w:spacing w:val="-104"/>
          <w:w w:val="99"/>
          <w:sz w:val="21"/>
        </w:rPr>
        <w:t>）</w:t>
      </w:r>
      <w:r>
        <w:rPr>
          <w:w w:val="99"/>
          <w:sz w:val="21"/>
        </w:rPr>
        <w:t>。</w:t>
      </w:r>
    </w:p>
    <w:p>
      <w:pPr>
        <w:pStyle w:val="ListParagraph"/>
        <w:numPr>
          <w:ilvl w:val="0"/>
          <w:numId w:val="15"/>
        </w:numPr>
        <w:tabs>
          <w:tab w:pos="1002" w:val="left" w:leader="none"/>
        </w:tabs>
        <w:spacing w:line="278" w:lineRule="auto" w:before="43" w:after="0"/>
        <w:ind w:left="986" w:right="5035" w:hanging="288"/>
        <w:jc w:val="left"/>
        <w:rPr>
          <w:sz w:val="21"/>
        </w:rPr>
      </w:pPr>
      <w:r>
        <w:rPr>
          <w:w w:val="95"/>
          <w:sz w:val="21"/>
        </w:rPr>
        <w:t>强调非管理类工作人员在如下方面的参与： </w:t>
      </w:r>
      <w:r>
        <w:rPr>
          <w:rFonts w:ascii="Times New Roman" w:eastAsia="Times New Roman"/>
          <w:sz w:val="21"/>
        </w:rPr>
        <w:t>1</w:t>
      </w:r>
      <w:r>
        <w:rPr>
          <w:sz w:val="21"/>
        </w:rPr>
        <w:t>）确定其协商和参与的机制；</w:t>
      </w:r>
    </w:p>
    <w:p>
      <w:pPr>
        <w:pStyle w:val="ListParagraph"/>
        <w:numPr>
          <w:ilvl w:val="0"/>
          <w:numId w:val="16"/>
        </w:numPr>
        <w:tabs>
          <w:tab w:pos="1302" w:val="left" w:leader="none"/>
        </w:tabs>
        <w:spacing w:line="269" w:lineRule="exact" w:before="0" w:after="0"/>
        <w:ind w:left="1302" w:right="0" w:hanging="316"/>
        <w:jc w:val="left"/>
        <w:rPr>
          <w:sz w:val="21"/>
        </w:rPr>
      </w:pPr>
      <w:r>
        <w:rPr>
          <w:spacing w:val="-1"/>
          <w:w w:val="99"/>
          <w:sz w:val="21"/>
        </w:rPr>
        <w:t>辨识危险源并评价风险和机遇（</w:t>
      </w:r>
      <w:r>
        <w:rPr>
          <w:w w:val="99"/>
          <w:sz w:val="21"/>
        </w:rPr>
        <w:t>见</w:t>
      </w:r>
      <w:r>
        <w:rPr>
          <w:spacing w:val="-53"/>
          <w:sz w:val="21"/>
        </w:rPr>
        <w:t> </w:t>
      </w:r>
      <w:r>
        <w:rPr>
          <w:rFonts w:ascii="Times New Roman" w:eastAsia="Times New Roman"/>
          <w:spacing w:val="1"/>
          <w:w w:val="99"/>
          <w:sz w:val="21"/>
        </w:rPr>
        <w:t>6</w:t>
      </w:r>
      <w:r>
        <w:rPr>
          <w:rFonts w:ascii="Times New Roman" w:eastAsia="Times New Roman"/>
          <w:w w:val="99"/>
          <w:sz w:val="21"/>
        </w:rPr>
        <w:t>.</w:t>
      </w:r>
      <w:r>
        <w:rPr>
          <w:rFonts w:ascii="Times New Roman" w:eastAsia="Times New Roman"/>
          <w:spacing w:val="1"/>
          <w:w w:val="99"/>
          <w:sz w:val="21"/>
        </w:rPr>
        <w:t>1</w:t>
      </w:r>
      <w:r>
        <w:rPr>
          <w:rFonts w:ascii="Times New Roman" w:eastAsia="Times New Roman"/>
          <w:w w:val="99"/>
          <w:sz w:val="21"/>
        </w:rPr>
        <w:t>.1</w:t>
      </w:r>
      <w:r>
        <w:rPr>
          <w:rFonts w:ascii="Times New Roman" w:eastAsia="Times New Roman"/>
          <w:spacing w:val="-1"/>
          <w:sz w:val="21"/>
        </w:rPr>
        <w:t> </w:t>
      </w:r>
      <w:r>
        <w:rPr>
          <w:w w:val="99"/>
          <w:sz w:val="21"/>
        </w:rPr>
        <w:t>和</w:t>
      </w:r>
      <w:r>
        <w:rPr>
          <w:spacing w:val="-53"/>
          <w:sz w:val="21"/>
        </w:rPr>
        <w:t> </w:t>
      </w:r>
      <w:r>
        <w:rPr>
          <w:rFonts w:ascii="Times New Roman" w:eastAsia="Times New Roman"/>
          <w:spacing w:val="1"/>
          <w:w w:val="99"/>
          <w:sz w:val="21"/>
        </w:rPr>
        <w:t>6</w:t>
      </w:r>
      <w:r>
        <w:rPr>
          <w:rFonts w:ascii="Times New Roman" w:eastAsia="Times New Roman"/>
          <w:w w:val="99"/>
          <w:sz w:val="21"/>
        </w:rPr>
        <w:t>.</w:t>
      </w:r>
      <w:r>
        <w:rPr>
          <w:rFonts w:ascii="Times New Roman" w:eastAsia="Times New Roman"/>
          <w:spacing w:val="1"/>
          <w:w w:val="99"/>
          <w:sz w:val="21"/>
        </w:rPr>
        <w:t>1</w:t>
      </w:r>
      <w:r>
        <w:rPr>
          <w:rFonts w:ascii="Times New Roman" w:eastAsia="Times New Roman"/>
          <w:w w:val="99"/>
          <w:sz w:val="21"/>
        </w:rPr>
        <w:t>.</w:t>
      </w:r>
      <w:r>
        <w:rPr>
          <w:rFonts w:ascii="Times New Roman" w:eastAsia="Times New Roman"/>
          <w:spacing w:val="-2"/>
          <w:w w:val="99"/>
          <w:sz w:val="21"/>
        </w:rPr>
        <w:t>2</w:t>
      </w:r>
      <w:r>
        <w:rPr>
          <w:spacing w:val="-104"/>
          <w:w w:val="99"/>
          <w:sz w:val="21"/>
        </w:rPr>
        <w:t>）</w:t>
      </w:r>
      <w:r>
        <w:rPr>
          <w:w w:val="99"/>
          <w:sz w:val="21"/>
        </w:rPr>
        <w:t>；</w:t>
      </w:r>
    </w:p>
    <w:p>
      <w:pPr>
        <w:pStyle w:val="ListParagraph"/>
        <w:numPr>
          <w:ilvl w:val="0"/>
          <w:numId w:val="16"/>
        </w:numPr>
        <w:tabs>
          <w:tab w:pos="1302" w:val="left" w:leader="none"/>
        </w:tabs>
        <w:spacing w:line="240" w:lineRule="auto" w:before="43" w:after="0"/>
        <w:ind w:left="1302" w:right="0" w:hanging="316"/>
        <w:jc w:val="left"/>
        <w:rPr>
          <w:sz w:val="21"/>
        </w:rPr>
      </w:pPr>
      <w:r>
        <w:rPr>
          <w:spacing w:val="-1"/>
          <w:w w:val="99"/>
          <w:sz w:val="21"/>
        </w:rPr>
        <w:t>确定消除危险源和降低职业健康安全风险的措施（</w:t>
      </w:r>
      <w:r>
        <w:rPr>
          <w:w w:val="99"/>
          <w:sz w:val="21"/>
        </w:rPr>
        <w:t>见</w:t>
      </w:r>
      <w:r>
        <w:rPr>
          <w:spacing w:val="-53"/>
          <w:sz w:val="21"/>
        </w:rPr>
        <w:t> </w:t>
      </w:r>
      <w:r>
        <w:rPr>
          <w:rFonts w:ascii="Times New Roman" w:eastAsia="Times New Roman"/>
          <w:spacing w:val="1"/>
          <w:w w:val="99"/>
          <w:sz w:val="21"/>
        </w:rPr>
        <w:t>6</w:t>
      </w:r>
      <w:r>
        <w:rPr>
          <w:rFonts w:ascii="Times New Roman" w:eastAsia="Times New Roman"/>
          <w:w w:val="99"/>
          <w:sz w:val="21"/>
        </w:rPr>
        <w:t>.</w:t>
      </w:r>
      <w:r>
        <w:rPr>
          <w:rFonts w:ascii="Times New Roman" w:eastAsia="Times New Roman"/>
          <w:spacing w:val="1"/>
          <w:w w:val="99"/>
          <w:sz w:val="21"/>
        </w:rPr>
        <w:t>1</w:t>
      </w:r>
      <w:r>
        <w:rPr>
          <w:rFonts w:ascii="Times New Roman" w:eastAsia="Times New Roman"/>
          <w:w w:val="99"/>
          <w:sz w:val="21"/>
        </w:rPr>
        <w:t>.</w:t>
      </w:r>
      <w:r>
        <w:rPr>
          <w:rFonts w:ascii="Times New Roman" w:eastAsia="Times New Roman"/>
          <w:spacing w:val="-2"/>
          <w:w w:val="99"/>
          <w:sz w:val="21"/>
        </w:rPr>
        <w:t>4</w:t>
      </w:r>
      <w:r>
        <w:rPr>
          <w:spacing w:val="-104"/>
          <w:w w:val="99"/>
          <w:sz w:val="21"/>
        </w:rPr>
        <w:t>）</w:t>
      </w:r>
      <w:r>
        <w:rPr>
          <w:w w:val="99"/>
          <w:sz w:val="21"/>
        </w:rPr>
        <w:t>；</w:t>
      </w:r>
    </w:p>
    <w:p>
      <w:pPr>
        <w:pStyle w:val="ListParagraph"/>
        <w:numPr>
          <w:ilvl w:val="0"/>
          <w:numId w:val="16"/>
        </w:numPr>
        <w:tabs>
          <w:tab w:pos="1302" w:val="left" w:leader="none"/>
        </w:tabs>
        <w:spacing w:line="240" w:lineRule="auto" w:before="43" w:after="0"/>
        <w:ind w:left="1302" w:right="0" w:hanging="316"/>
        <w:jc w:val="left"/>
        <w:rPr>
          <w:sz w:val="21"/>
        </w:rPr>
      </w:pPr>
      <w:r>
        <w:rPr>
          <w:spacing w:val="-1"/>
          <w:w w:val="99"/>
          <w:sz w:val="21"/>
        </w:rPr>
        <w:t>确定能力要求、培训需求、培训和培训效果评价（</w:t>
      </w:r>
      <w:r>
        <w:rPr>
          <w:w w:val="99"/>
          <w:sz w:val="21"/>
        </w:rPr>
        <w:t>见</w:t>
      </w:r>
      <w:r>
        <w:rPr>
          <w:spacing w:val="-53"/>
          <w:sz w:val="21"/>
        </w:rPr>
        <w:t> </w:t>
      </w:r>
      <w:r>
        <w:rPr>
          <w:rFonts w:ascii="Times New Roman" w:eastAsia="Times New Roman"/>
          <w:spacing w:val="1"/>
          <w:w w:val="99"/>
          <w:sz w:val="21"/>
        </w:rPr>
        <w:t>7</w:t>
      </w:r>
      <w:r>
        <w:rPr>
          <w:rFonts w:ascii="Times New Roman" w:eastAsia="Times New Roman"/>
          <w:w w:val="99"/>
          <w:sz w:val="21"/>
        </w:rPr>
        <w:t>.</w:t>
      </w:r>
      <w:r>
        <w:rPr>
          <w:rFonts w:ascii="Times New Roman" w:eastAsia="Times New Roman"/>
          <w:spacing w:val="1"/>
          <w:w w:val="99"/>
          <w:sz w:val="21"/>
        </w:rPr>
        <w:t>2</w:t>
      </w:r>
      <w:r>
        <w:rPr>
          <w:spacing w:val="-104"/>
          <w:w w:val="99"/>
          <w:sz w:val="21"/>
        </w:rPr>
        <w:t>）</w:t>
      </w:r>
      <w:r>
        <w:rPr>
          <w:w w:val="99"/>
          <w:sz w:val="21"/>
        </w:rPr>
        <w:t>；</w:t>
      </w:r>
    </w:p>
    <w:p>
      <w:pPr>
        <w:pStyle w:val="ListParagraph"/>
        <w:numPr>
          <w:ilvl w:val="0"/>
          <w:numId w:val="16"/>
        </w:numPr>
        <w:tabs>
          <w:tab w:pos="1302" w:val="left" w:leader="none"/>
        </w:tabs>
        <w:spacing w:line="240" w:lineRule="auto" w:before="43" w:after="0"/>
        <w:ind w:left="1302" w:right="0" w:hanging="316"/>
        <w:jc w:val="left"/>
        <w:rPr>
          <w:sz w:val="21"/>
        </w:rPr>
      </w:pPr>
      <w:r>
        <w:rPr>
          <w:spacing w:val="-1"/>
          <w:w w:val="99"/>
          <w:sz w:val="21"/>
        </w:rPr>
        <w:t>确定沟通的内容和方式</w:t>
      </w:r>
      <w:r>
        <w:rPr>
          <w:spacing w:val="2"/>
          <w:w w:val="99"/>
          <w:sz w:val="21"/>
        </w:rPr>
        <w:t>（</w:t>
      </w:r>
      <w:r>
        <w:rPr>
          <w:w w:val="99"/>
          <w:sz w:val="21"/>
        </w:rPr>
        <w:t>见</w:t>
      </w:r>
      <w:r>
        <w:rPr>
          <w:spacing w:val="-53"/>
          <w:sz w:val="21"/>
        </w:rPr>
        <w:t> </w:t>
      </w:r>
      <w:r>
        <w:rPr>
          <w:rFonts w:ascii="Times New Roman" w:eastAsia="Times New Roman"/>
          <w:spacing w:val="1"/>
          <w:w w:val="99"/>
          <w:sz w:val="21"/>
        </w:rPr>
        <w:t>7</w:t>
      </w:r>
      <w:r>
        <w:rPr>
          <w:rFonts w:ascii="Times New Roman" w:eastAsia="Times New Roman"/>
          <w:w w:val="99"/>
          <w:sz w:val="21"/>
        </w:rPr>
        <w:t>.</w:t>
      </w:r>
      <w:r>
        <w:rPr>
          <w:rFonts w:ascii="Times New Roman" w:eastAsia="Times New Roman"/>
          <w:spacing w:val="-2"/>
          <w:w w:val="99"/>
          <w:sz w:val="21"/>
        </w:rPr>
        <w:t>4</w:t>
      </w:r>
      <w:r>
        <w:rPr>
          <w:spacing w:val="-104"/>
          <w:w w:val="99"/>
          <w:sz w:val="21"/>
        </w:rPr>
        <w:t>）</w:t>
      </w:r>
      <w:r>
        <w:rPr>
          <w:w w:val="99"/>
          <w:sz w:val="21"/>
        </w:rPr>
        <w:t>；</w:t>
      </w:r>
    </w:p>
    <w:p>
      <w:pPr>
        <w:pStyle w:val="ListParagraph"/>
        <w:numPr>
          <w:ilvl w:val="0"/>
          <w:numId w:val="16"/>
        </w:numPr>
        <w:tabs>
          <w:tab w:pos="1302" w:val="left" w:leader="none"/>
        </w:tabs>
        <w:spacing w:line="240" w:lineRule="auto" w:before="43" w:after="0"/>
        <w:ind w:left="1302" w:right="0" w:hanging="316"/>
        <w:jc w:val="left"/>
        <w:rPr>
          <w:sz w:val="21"/>
        </w:rPr>
      </w:pPr>
      <w:r>
        <w:rPr>
          <w:spacing w:val="-1"/>
          <w:w w:val="99"/>
          <w:sz w:val="21"/>
        </w:rPr>
        <w:t>确定控制措施及其有效的实施和应用</w:t>
      </w:r>
      <w:r>
        <w:rPr>
          <w:spacing w:val="2"/>
          <w:w w:val="99"/>
          <w:sz w:val="21"/>
        </w:rPr>
        <w:t>（</w:t>
      </w:r>
      <w:r>
        <w:rPr>
          <w:w w:val="99"/>
          <w:sz w:val="21"/>
        </w:rPr>
        <w:t>见</w:t>
      </w:r>
      <w:r>
        <w:rPr>
          <w:spacing w:val="-53"/>
          <w:sz w:val="21"/>
        </w:rPr>
        <w:t> </w:t>
      </w:r>
      <w:r>
        <w:rPr>
          <w:rFonts w:ascii="Times New Roman" w:eastAsia="Times New Roman"/>
          <w:spacing w:val="1"/>
          <w:w w:val="99"/>
          <w:sz w:val="21"/>
        </w:rPr>
        <w:t>8</w:t>
      </w:r>
      <w:r>
        <w:rPr>
          <w:rFonts w:ascii="Times New Roman" w:eastAsia="Times New Roman"/>
          <w:w w:val="99"/>
          <w:sz w:val="21"/>
        </w:rPr>
        <w:t>.</w:t>
      </w:r>
      <w:r>
        <w:rPr>
          <w:rFonts w:ascii="Times New Roman" w:eastAsia="Times New Roman"/>
          <w:spacing w:val="-2"/>
          <w:w w:val="99"/>
          <w:sz w:val="21"/>
        </w:rPr>
        <w:t>1</w:t>
      </w:r>
      <w:r>
        <w:rPr>
          <w:spacing w:val="2"/>
          <w:w w:val="99"/>
          <w:sz w:val="21"/>
        </w:rPr>
        <w:t>、</w:t>
      </w:r>
      <w:r>
        <w:rPr>
          <w:rFonts w:ascii="Times New Roman" w:eastAsia="Times New Roman"/>
          <w:spacing w:val="1"/>
          <w:w w:val="99"/>
          <w:sz w:val="21"/>
        </w:rPr>
        <w:t>8</w:t>
      </w:r>
      <w:r>
        <w:rPr>
          <w:rFonts w:ascii="Times New Roman" w:eastAsia="Times New Roman"/>
          <w:w w:val="99"/>
          <w:sz w:val="21"/>
        </w:rPr>
        <w:t>.</w:t>
      </w:r>
      <w:r>
        <w:rPr>
          <w:rFonts w:ascii="Times New Roman" w:eastAsia="Times New Roman"/>
          <w:spacing w:val="1"/>
          <w:w w:val="99"/>
          <w:sz w:val="21"/>
        </w:rPr>
        <w:t>1</w:t>
      </w:r>
      <w:r>
        <w:rPr>
          <w:rFonts w:ascii="Times New Roman" w:eastAsia="Times New Roman"/>
          <w:w w:val="99"/>
          <w:sz w:val="21"/>
        </w:rPr>
        <w:t>.3</w:t>
      </w:r>
      <w:r>
        <w:rPr>
          <w:rFonts w:ascii="Times New Roman" w:eastAsia="Times New Roman"/>
          <w:spacing w:val="-4"/>
          <w:sz w:val="21"/>
        </w:rPr>
        <w:t> </w:t>
      </w:r>
      <w:r>
        <w:rPr>
          <w:w w:val="99"/>
          <w:sz w:val="21"/>
        </w:rPr>
        <w:t>和</w:t>
      </w:r>
      <w:r>
        <w:rPr>
          <w:spacing w:val="-50"/>
          <w:sz w:val="21"/>
        </w:rPr>
        <w:t> </w:t>
      </w:r>
      <w:r>
        <w:rPr>
          <w:rFonts w:ascii="Times New Roman" w:eastAsia="Times New Roman"/>
          <w:spacing w:val="1"/>
          <w:w w:val="99"/>
          <w:sz w:val="21"/>
        </w:rPr>
        <w:t>8</w:t>
      </w:r>
      <w:r>
        <w:rPr>
          <w:rFonts w:ascii="Times New Roman" w:eastAsia="Times New Roman"/>
          <w:w w:val="99"/>
          <w:sz w:val="21"/>
        </w:rPr>
        <w:t>.</w:t>
      </w:r>
      <w:r>
        <w:rPr>
          <w:rFonts w:ascii="Times New Roman" w:eastAsia="Times New Roman"/>
          <w:spacing w:val="-2"/>
          <w:w w:val="99"/>
          <w:sz w:val="21"/>
        </w:rPr>
        <w:t>2</w:t>
      </w:r>
      <w:r>
        <w:rPr>
          <w:spacing w:val="-104"/>
          <w:w w:val="99"/>
          <w:sz w:val="21"/>
        </w:rPr>
        <w:t>）</w:t>
      </w:r>
      <w:r>
        <w:rPr>
          <w:w w:val="99"/>
          <w:sz w:val="21"/>
        </w:rPr>
        <w:t>；</w:t>
      </w:r>
    </w:p>
    <w:p>
      <w:pPr>
        <w:pStyle w:val="ListParagraph"/>
        <w:numPr>
          <w:ilvl w:val="0"/>
          <w:numId w:val="16"/>
        </w:numPr>
        <w:tabs>
          <w:tab w:pos="1302" w:val="left" w:leader="none"/>
        </w:tabs>
        <w:spacing w:line="240" w:lineRule="auto" w:before="43" w:after="0"/>
        <w:ind w:left="1302" w:right="0" w:hanging="316"/>
        <w:jc w:val="left"/>
        <w:rPr>
          <w:sz w:val="21"/>
        </w:rPr>
      </w:pPr>
      <w:r>
        <w:rPr>
          <w:spacing w:val="-1"/>
          <w:w w:val="99"/>
          <w:sz w:val="21"/>
        </w:rPr>
        <w:t>调查事件和不符合并确定纠正措施（</w:t>
      </w:r>
      <w:r>
        <w:rPr>
          <w:w w:val="99"/>
          <w:sz w:val="21"/>
        </w:rPr>
        <w:t>见</w:t>
      </w:r>
      <w:r>
        <w:rPr>
          <w:spacing w:val="-53"/>
          <w:sz w:val="21"/>
        </w:rPr>
        <w:t> </w:t>
      </w:r>
      <w:r>
        <w:rPr>
          <w:rFonts w:ascii="Times New Roman" w:eastAsia="Times New Roman"/>
          <w:spacing w:val="1"/>
          <w:w w:val="99"/>
          <w:sz w:val="21"/>
        </w:rPr>
        <w:t>10</w:t>
      </w:r>
      <w:r>
        <w:rPr>
          <w:rFonts w:ascii="Times New Roman" w:eastAsia="Times New Roman"/>
          <w:w w:val="99"/>
          <w:sz w:val="21"/>
        </w:rPr>
        <w:t>.</w:t>
      </w:r>
      <w:r>
        <w:rPr>
          <w:rFonts w:ascii="Times New Roman" w:eastAsia="Times New Roman"/>
          <w:spacing w:val="1"/>
          <w:w w:val="99"/>
          <w:sz w:val="21"/>
        </w:rPr>
        <w:t>2</w:t>
      </w:r>
      <w:r>
        <w:rPr>
          <w:spacing w:val="-106"/>
          <w:w w:val="99"/>
          <w:sz w:val="21"/>
        </w:rPr>
        <w:t>）</w:t>
      </w:r>
      <w:r>
        <w:rPr>
          <w:w w:val="99"/>
          <w:sz w:val="21"/>
        </w:rPr>
        <w:t>。</w:t>
      </w:r>
    </w:p>
    <w:p>
      <w:pPr>
        <w:spacing w:line="324" w:lineRule="auto" w:before="63"/>
        <w:ind w:left="1408" w:right="504" w:hanging="423"/>
        <w:jc w:val="left"/>
        <w:rPr>
          <w:sz w:val="18"/>
        </w:rPr>
      </w:pPr>
      <w:r>
        <w:rPr>
          <w:sz w:val="18"/>
        </w:rPr>
        <w:t>注</w:t>
      </w:r>
      <w:r>
        <w:rPr>
          <w:spacing w:val="-4"/>
          <w:sz w:val="18"/>
        </w:rPr>
        <w:t>3</w:t>
      </w:r>
      <w:r>
        <w:rPr>
          <w:spacing w:val="-5"/>
          <w:sz w:val="18"/>
        </w:rPr>
        <w:t>：强调非管理类工作人员的协商和参与，旨在适用于执行工作活动的人员，但无意排除其他人员，如受组</w:t>
      </w:r>
      <w:r>
        <w:rPr>
          <w:sz w:val="18"/>
        </w:rPr>
        <w:t>织内工作活动或其他因素影响的管理者。</w:t>
      </w:r>
    </w:p>
    <w:p>
      <w:pPr>
        <w:spacing w:line="324" w:lineRule="auto" w:before="2"/>
        <w:ind w:left="1408" w:right="504" w:hanging="423"/>
        <w:jc w:val="left"/>
        <w:rPr>
          <w:sz w:val="18"/>
        </w:rPr>
      </w:pPr>
      <w:r>
        <w:rPr>
          <w:sz w:val="18"/>
        </w:rPr>
        <w:t>注</w:t>
      </w:r>
      <w:r>
        <w:rPr>
          <w:spacing w:val="-4"/>
          <w:sz w:val="18"/>
        </w:rPr>
        <w:t>4</w:t>
      </w:r>
      <w:r>
        <w:rPr>
          <w:spacing w:val="-6"/>
          <w:sz w:val="18"/>
        </w:rPr>
        <w:t>：需认识到，若可行，向工作人员免费提供培训以及在工作时间内提供培训，可以消除工作人员参与的重</w:t>
      </w:r>
      <w:r>
        <w:rPr>
          <w:sz w:val="18"/>
        </w:rPr>
        <w:t>大障碍。</w:t>
      </w:r>
    </w:p>
    <w:p>
      <w:pPr>
        <w:pStyle w:val="ListParagraph"/>
        <w:numPr>
          <w:ilvl w:val="0"/>
          <w:numId w:val="11"/>
        </w:numPr>
        <w:tabs>
          <w:tab w:pos="592" w:val="left" w:leader="none"/>
          <w:tab w:pos="593" w:val="left" w:leader="none"/>
        </w:tabs>
        <w:spacing w:line="250" w:lineRule="exact" w:before="0" w:after="0"/>
        <w:ind w:left="592" w:right="0" w:hanging="315"/>
        <w:jc w:val="left"/>
        <w:rPr>
          <w:rFonts w:ascii="黑体" w:eastAsia="黑体" w:hint="eastAsia"/>
          <w:sz w:val="21"/>
        </w:rPr>
      </w:pPr>
      <w:bookmarkStart w:name="6　策划" w:id="80"/>
      <w:bookmarkEnd w:id="80"/>
      <w:r>
        <w:rPr/>
      </w:r>
      <w:bookmarkStart w:name="_bookmark16" w:id="81"/>
      <w:bookmarkEnd w:id="81"/>
      <w:r>
        <w:rPr>
          <w:rFonts w:ascii="黑体" w:eastAsia="黑体" w:hint="eastAsia"/>
          <w:sz w:val="21"/>
        </w:rPr>
        <w:t>策划</w:t>
      </w:r>
    </w:p>
    <w:p>
      <w:pPr>
        <w:pStyle w:val="ListParagraph"/>
        <w:numPr>
          <w:ilvl w:val="1"/>
          <w:numId w:val="11"/>
        </w:numPr>
        <w:tabs>
          <w:tab w:pos="803" w:val="left" w:leader="none"/>
          <w:tab w:pos="804" w:val="left" w:leader="none"/>
        </w:tabs>
        <w:spacing w:line="240" w:lineRule="auto" w:before="43" w:after="0"/>
        <w:ind w:left="804" w:right="0" w:hanging="526"/>
        <w:jc w:val="left"/>
        <w:rPr>
          <w:rFonts w:ascii="黑体" w:eastAsia="黑体" w:hint="eastAsia"/>
          <w:sz w:val="21"/>
        </w:rPr>
      </w:pPr>
      <w:bookmarkStart w:name="6.1　应对风险和机遇的措施" w:id="82"/>
      <w:bookmarkEnd w:id="82"/>
      <w:r>
        <w:rPr/>
      </w:r>
      <w:bookmarkStart w:name="_bookmark17" w:id="83"/>
      <w:bookmarkEnd w:id="83"/>
      <w:r>
        <w:rPr>
          <w:rFonts w:ascii="黑体" w:eastAsia="黑体" w:hint="eastAsia"/>
          <w:sz w:val="21"/>
        </w:rPr>
        <w:t>应对风险和机遇的措施</w:t>
      </w:r>
    </w:p>
    <w:p>
      <w:pPr>
        <w:pStyle w:val="ListParagraph"/>
        <w:numPr>
          <w:ilvl w:val="2"/>
          <w:numId w:val="17"/>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6.1.1　总则" w:id="84"/>
      <w:bookmarkEnd w:id="84"/>
      <w:r>
        <w:rPr/>
      </w:r>
      <w:bookmarkStart w:name="_bookmark18" w:id="85"/>
      <w:bookmarkEnd w:id="85"/>
      <w:r>
        <w:rPr>
          <w:rFonts w:ascii="黑体" w:eastAsia="黑体" w:hint="eastAsia"/>
          <w:sz w:val="21"/>
        </w:rPr>
        <w:t>总则</w:t>
      </w:r>
    </w:p>
    <w:p>
      <w:pPr>
        <w:pStyle w:val="BodyText"/>
        <w:spacing w:line="278" w:lineRule="auto"/>
        <w:ind w:left="278" w:right="397" w:firstLine="420"/>
      </w:pPr>
      <w:r>
        <w:rPr>
          <w:spacing w:val="-4"/>
        </w:rPr>
        <w:t>在策划职业健康安全管理体系时，组织应考虑 </w:t>
      </w:r>
      <w:r>
        <w:rPr>
          <w:rFonts w:ascii="Times New Roman" w:eastAsia="Times New Roman"/>
          <w:spacing w:val="-3"/>
        </w:rPr>
        <w:t>4.1</w:t>
      </w:r>
      <w:r>
        <w:rPr>
          <w:spacing w:val="-3"/>
        </w:rPr>
        <w:t>（</w:t>
      </w:r>
      <w:r>
        <w:rPr/>
        <w:t>所处的环境）</w:t>
      </w:r>
      <w:r>
        <w:rPr>
          <w:spacing w:val="-5"/>
        </w:rPr>
        <w:t> 所提及的议题、</w:t>
      </w:r>
      <w:r>
        <w:rPr>
          <w:rFonts w:ascii="Times New Roman" w:eastAsia="Times New Roman"/>
        </w:rPr>
        <w:t>4.2 </w:t>
      </w:r>
      <w:r>
        <w:rPr/>
        <w:t>（相关方） </w:t>
      </w:r>
      <w:r>
        <w:rPr>
          <w:spacing w:val="-1"/>
          <w:w w:val="99"/>
        </w:rPr>
        <w:t>所提及的要求和</w:t>
      </w:r>
      <w:r>
        <w:rPr>
          <w:spacing w:val="-53"/>
        </w:rPr>
        <w:t> </w:t>
      </w:r>
      <w:r>
        <w:rPr>
          <w:rFonts w:ascii="Times New Roman" w:eastAsia="Times New Roman"/>
          <w:spacing w:val="1"/>
          <w:w w:val="99"/>
        </w:rPr>
        <w:t>4</w:t>
      </w:r>
      <w:r>
        <w:rPr>
          <w:rFonts w:ascii="Times New Roman" w:eastAsia="Times New Roman"/>
          <w:w w:val="99"/>
        </w:rPr>
        <w:t>.</w:t>
      </w:r>
      <w:r>
        <w:rPr>
          <w:rFonts w:ascii="Times New Roman" w:eastAsia="Times New Roman"/>
          <w:spacing w:val="1"/>
          <w:w w:val="99"/>
        </w:rPr>
        <w:t>3</w:t>
      </w:r>
      <w:r>
        <w:rPr>
          <w:spacing w:val="-1"/>
          <w:w w:val="99"/>
        </w:rPr>
        <w:t>（职业健康安全管理体系范围</w:t>
      </w:r>
      <w:r>
        <w:rPr>
          <w:spacing w:val="-104"/>
          <w:w w:val="99"/>
        </w:rPr>
        <w:t>）</w:t>
      </w:r>
      <w:r>
        <w:rPr>
          <w:spacing w:val="-1"/>
          <w:w w:val="99"/>
        </w:rPr>
        <w:t>，并确定所需应对的风险和机遇，以：</w:t>
      </w:r>
    </w:p>
    <w:p>
      <w:pPr>
        <w:pStyle w:val="BodyText"/>
        <w:spacing w:line="278" w:lineRule="auto" w:before="0"/>
        <w:ind w:left="698" w:right="5010"/>
      </w:pPr>
      <w:r>
        <w:rPr>
          <w:rFonts w:ascii="Times New Roman" w:eastAsia="Times New Roman"/>
          <w:w w:val="95"/>
        </w:rPr>
        <w:t>a</w:t>
      </w:r>
      <w:r>
        <w:rPr>
          <w:w w:val="95"/>
        </w:rPr>
        <w:t>）确保职业健康安全管理体系实现预期结果； </w:t>
      </w:r>
      <w:r>
        <w:rPr>
          <w:rFonts w:ascii="Times New Roman" w:eastAsia="Times New Roman"/>
        </w:rPr>
        <w:t>b</w:t>
      </w:r>
      <w:r>
        <w:rPr/>
        <w:t>）防止或减少不期望的影响；</w:t>
      </w:r>
    </w:p>
    <w:p>
      <w:pPr>
        <w:pStyle w:val="BodyText"/>
        <w:spacing w:line="269" w:lineRule="exact" w:before="0"/>
        <w:ind w:left="698"/>
      </w:pPr>
      <w:r>
        <w:rPr>
          <w:rFonts w:ascii="Times New Roman" w:eastAsia="Times New Roman"/>
        </w:rPr>
        <w:t>c</w:t>
      </w:r>
      <w:r>
        <w:rPr/>
        <w:t>）实现持续改进。</w:t>
      </w:r>
    </w:p>
    <w:p>
      <w:pPr>
        <w:pStyle w:val="BodyText"/>
        <w:spacing w:before="42"/>
        <w:ind w:left="698"/>
      </w:pPr>
      <w:r>
        <w:rPr/>
        <w:t>在确定所需应对的与职业健康安全管理体系及其预期结果有关的风险和机遇时，组织必须考虑：</w:t>
      </w:r>
    </w:p>
    <w:p>
      <w:pPr>
        <w:pStyle w:val="BodyText"/>
        <w:ind w:left="698"/>
      </w:pPr>
      <w:r>
        <w:rPr>
          <w:spacing w:val="-1"/>
          <w:w w:val="99"/>
        </w:rPr>
        <w:t>——危险源</w:t>
      </w:r>
      <w:r>
        <w:rPr>
          <w:spacing w:val="2"/>
          <w:w w:val="99"/>
        </w:rPr>
        <w:t>（</w:t>
      </w:r>
      <w:r>
        <w:rPr>
          <w:w w:val="99"/>
        </w:rPr>
        <w:t>见</w:t>
      </w:r>
      <w:r>
        <w:rPr>
          <w:spacing w:val="-53"/>
        </w:rPr>
        <w:t> </w:t>
      </w:r>
      <w:r>
        <w:rPr>
          <w:rFonts w:ascii="Times New Roman" w:hAnsi="Times New Roman" w:eastAsia="Times New Roman"/>
          <w:spacing w:val="1"/>
          <w:w w:val="99"/>
        </w:rPr>
        <w:t>6</w:t>
      </w:r>
      <w:r>
        <w:rPr>
          <w:rFonts w:ascii="Times New Roman" w:hAnsi="Times New Roman" w:eastAsia="Times New Roman"/>
          <w:w w:val="99"/>
        </w:rPr>
        <w:t>.</w:t>
      </w:r>
      <w:r>
        <w:rPr>
          <w:rFonts w:ascii="Times New Roman" w:hAnsi="Times New Roman" w:eastAsia="Times New Roman"/>
          <w:spacing w:val="1"/>
          <w:w w:val="99"/>
        </w:rPr>
        <w:t>1</w:t>
      </w:r>
      <w:r>
        <w:rPr>
          <w:rFonts w:ascii="Times New Roman" w:hAnsi="Times New Roman" w:eastAsia="Times New Roman"/>
          <w:w w:val="99"/>
        </w:rPr>
        <w:t>.</w:t>
      </w:r>
      <w:r>
        <w:rPr>
          <w:rFonts w:ascii="Times New Roman" w:hAnsi="Times New Roman" w:eastAsia="Times New Roman"/>
          <w:spacing w:val="-2"/>
          <w:w w:val="99"/>
        </w:rPr>
        <w:t>2</w:t>
      </w:r>
      <w:r>
        <w:rPr>
          <w:rFonts w:ascii="Times New Roman" w:hAnsi="Times New Roman" w:eastAsia="Times New Roman"/>
          <w:w w:val="99"/>
        </w:rPr>
        <w:t>.</w:t>
      </w:r>
      <w:r>
        <w:rPr>
          <w:rFonts w:ascii="Times New Roman" w:hAnsi="Times New Roman" w:eastAsia="Times New Roman"/>
          <w:spacing w:val="1"/>
          <w:w w:val="99"/>
        </w:rPr>
        <w:t>1</w:t>
      </w:r>
      <w:r>
        <w:rPr>
          <w:spacing w:val="-104"/>
          <w:w w:val="99"/>
        </w:rPr>
        <w:t>）</w:t>
      </w:r>
      <w:r>
        <w:rPr>
          <w:w w:val="99"/>
        </w:rPr>
        <w:t>；</w:t>
      </w:r>
    </w:p>
    <w:p>
      <w:pPr>
        <w:pStyle w:val="BodyText"/>
        <w:ind w:left="698"/>
      </w:pPr>
      <w:r>
        <w:rPr>
          <w:spacing w:val="-1"/>
          <w:w w:val="99"/>
        </w:rPr>
        <w:t>——职业健康安全风险和其他风险</w:t>
      </w:r>
      <w:r>
        <w:rPr>
          <w:spacing w:val="2"/>
          <w:w w:val="99"/>
        </w:rPr>
        <w:t>（</w:t>
      </w:r>
      <w:r>
        <w:rPr>
          <w:w w:val="99"/>
        </w:rPr>
        <w:t>见</w:t>
      </w:r>
      <w:r>
        <w:rPr>
          <w:spacing w:val="-53"/>
        </w:rPr>
        <w:t> </w:t>
      </w:r>
      <w:r>
        <w:rPr>
          <w:rFonts w:ascii="Times New Roman" w:hAnsi="Times New Roman" w:eastAsia="Times New Roman"/>
          <w:spacing w:val="1"/>
          <w:w w:val="99"/>
        </w:rPr>
        <w:t>6</w:t>
      </w:r>
      <w:r>
        <w:rPr>
          <w:rFonts w:ascii="Times New Roman" w:hAnsi="Times New Roman" w:eastAsia="Times New Roman"/>
          <w:w w:val="99"/>
        </w:rPr>
        <w:t>.</w:t>
      </w:r>
      <w:r>
        <w:rPr>
          <w:rFonts w:ascii="Times New Roman" w:hAnsi="Times New Roman" w:eastAsia="Times New Roman"/>
          <w:spacing w:val="1"/>
          <w:w w:val="99"/>
        </w:rPr>
        <w:t>1</w:t>
      </w:r>
      <w:r>
        <w:rPr>
          <w:rFonts w:ascii="Times New Roman" w:hAnsi="Times New Roman" w:eastAsia="Times New Roman"/>
          <w:w w:val="99"/>
        </w:rPr>
        <w:t>.</w:t>
      </w:r>
      <w:r>
        <w:rPr>
          <w:rFonts w:ascii="Times New Roman" w:hAnsi="Times New Roman" w:eastAsia="Times New Roman"/>
          <w:spacing w:val="-2"/>
          <w:w w:val="99"/>
        </w:rPr>
        <w:t>2</w:t>
      </w:r>
      <w:r>
        <w:rPr>
          <w:rFonts w:ascii="Times New Roman" w:hAnsi="Times New Roman" w:eastAsia="Times New Roman"/>
          <w:w w:val="99"/>
        </w:rPr>
        <w:t>.</w:t>
      </w:r>
      <w:r>
        <w:rPr>
          <w:rFonts w:ascii="Times New Roman" w:hAnsi="Times New Roman" w:eastAsia="Times New Roman"/>
          <w:spacing w:val="1"/>
          <w:w w:val="99"/>
        </w:rPr>
        <w:t>2</w:t>
      </w:r>
      <w:r>
        <w:rPr>
          <w:spacing w:val="-104"/>
          <w:w w:val="99"/>
        </w:rPr>
        <w:t>）</w:t>
      </w:r>
      <w:r>
        <w:rPr>
          <w:w w:val="99"/>
        </w:rPr>
        <w:t>；</w:t>
      </w:r>
    </w:p>
    <w:p>
      <w:pPr>
        <w:pStyle w:val="BodyText"/>
        <w:ind w:left="698"/>
      </w:pPr>
      <w:r>
        <w:rPr>
          <w:spacing w:val="-1"/>
          <w:w w:val="99"/>
        </w:rPr>
        <w:t>——职业健康安全机遇和其他机遇</w:t>
      </w:r>
      <w:r>
        <w:rPr>
          <w:spacing w:val="2"/>
          <w:w w:val="99"/>
        </w:rPr>
        <w:t>（</w:t>
      </w:r>
      <w:r>
        <w:rPr>
          <w:w w:val="99"/>
        </w:rPr>
        <w:t>见</w:t>
      </w:r>
      <w:r>
        <w:rPr>
          <w:spacing w:val="-53"/>
        </w:rPr>
        <w:t> </w:t>
      </w:r>
      <w:r>
        <w:rPr>
          <w:rFonts w:ascii="Times New Roman" w:hAnsi="Times New Roman" w:eastAsia="Times New Roman"/>
          <w:spacing w:val="1"/>
          <w:w w:val="99"/>
        </w:rPr>
        <w:t>6</w:t>
      </w:r>
      <w:r>
        <w:rPr>
          <w:rFonts w:ascii="Times New Roman" w:hAnsi="Times New Roman" w:eastAsia="Times New Roman"/>
          <w:w w:val="99"/>
        </w:rPr>
        <w:t>.</w:t>
      </w:r>
      <w:r>
        <w:rPr>
          <w:rFonts w:ascii="Times New Roman" w:hAnsi="Times New Roman" w:eastAsia="Times New Roman"/>
          <w:spacing w:val="1"/>
          <w:w w:val="99"/>
        </w:rPr>
        <w:t>1</w:t>
      </w:r>
      <w:r>
        <w:rPr>
          <w:rFonts w:ascii="Times New Roman" w:hAnsi="Times New Roman" w:eastAsia="Times New Roman"/>
          <w:w w:val="99"/>
        </w:rPr>
        <w:t>.</w:t>
      </w:r>
      <w:r>
        <w:rPr>
          <w:rFonts w:ascii="Times New Roman" w:hAnsi="Times New Roman" w:eastAsia="Times New Roman"/>
          <w:spacing w:val="-2"/>
          <w:w w:val="99"/>
        </w:rPr>
        <w:t>2</w:t>
      </w:r>
      <w:r>
        <w:rPr>
          <w:rFonts w:ascii="Times New Roman" w:hAnsi="Times New Roman" w:eastAsia="Times New Roman"/>
          <w:w w:val="99"/>
        </w:rPr>
        <w:t>.</w:t>
      </w:r>
      <w:r>
        <w:rPr>
          <w:rFonts w:ascii="Times New Roman" w:hAnsi="Times New Roman" w:eastAsia="Times New Roman"/>
          <w:spacing w:val="1"/>
          <w:w w:val="99"/>
        </w:rPr>
        <w:t>3</w:t>
      </w:r>
      <w:r>
        <w:rPr>
          <w:spacing w:val="-104"/>
          <w:w w:val="99"/>
        </w:rPr>
        <w:t>）</w:t>
      </w:r>
      <w:r>
        <w:rPr>
          <w:w w:val="99"/>
        </w:rPr>
        <w:t>；</w:t>
      </w:r>
    </w:p>
    <w:p>
      <w:pPr>
        <w:pStyle w:val="BodyText"/>
        <w:ind w:left="698"/>
      </w:pPr>
      <w:r>
        <w:rPr>
          <w:spacing w:val="-1"/>
          <w:w w:val="99"/>
        </w:rPr>
        <w:t>——法律法规要求和其他要求</w:t>
      </w:r>
      <w:r>
        <w:rPr>
          <w:spacing w:val="2"/>
          <w:w w:val="99"/>
        </w:rPr>
        <w:t>（</w:t>
      </w:r>
      <w:r>
        <w:rPr>
          <w:w w:val="99"/>
        </w:rPr>
        <w:t>见</w:t>
      </w:r>
      <w:r>
        <w:rPr>
          <w:spacing w:val="-53"/>
        </w:rPr>
        <w:t> </w:t>
      </w:r>
      <w:r>
        <w:rPr>
          <w:rFonts w:ascii="Times New Roman" w:hAnsi="Times New Roman" w:eastAsia="Times New Roman"/>
          <w:spacing w:val="1"/>
          <w:w w:val="99"/>
        </w:rPr>
        <w:t>6</w:t>
      </w:r>
      <w:r>
        <w:rPr>
          <w:rFonts w:ascii="Times New Roman" w:hAnsi="Times New Roman" w:eastAsia="Times New Roman"/>
          <w:w w:val="99"/>
        </w:rPr>
        <w:t>.</w:t>
      </w:r>
      <w:r>
        <w:rPr>
          <w:rFonts w:ascii="Times New Roman" w:hAnsi="Times New Roman" w:eastAsia="Times New Roman"/>
          <w:spacing w:val="1"/>
          <w:w w:val="99"/>
        </w:rPr>
        <w:t>1</w:t>
      </w:r>
      <w:r>
        <w:rPr>
          <w:rFonts w:ascii="Times New Roman" w:hAnsi="Times New Roman" w:eastAsia="Times New Roman"/>
          <w:w w:val="99"/>
        </w:rPr>
        <w:t>.</w:t>
      </w:r>
      <w:r>
        <w:rPr>
          <w:rFonts w:ascii="Times New Roman" w:hAnsi="Times New Roman" w:eastAsia="Times New Roman"/>
          <w:spacing w:val="-2"/>
          <w:w w:val="99"/>
        </w:rPr>
        <w:t>3</w:t>
      </w:r>
      <w:r>
        <w:rPr>
          <w:spacing w:val="-104"/>
          <w:w w:val="99"/>
        </w:rPr>
        <w:t>）</w:t>
      </w:r>
      <w:r>
        <w:rPr>
          <w:w w:val="99"/>
        </w:rPr>
        <w:t>。</w:t>
      </w:r>
    </w:p>
    <w:p>
      <w:pPr>
        <w:pStyle w:val="BodyText"/>
        <w:spacing w:line="278" w:lineRule="auto"/>
        <w:ind w:left="278" w:right="506" w:firstLine="420"/>
        <w:jc w:val="both"/>
      </w:pPr>
      <w:r>
        <w:rPr>
          <w:w w:val="95"/>
        </w:rPr>
        <w:t>在策划过程中，组织应结合组织及其过程或职业健康安全管理体系的变更来确定和评价与职业健   康安全管理体系预期结果有关的风险和机遇。对于所策划的变更，无论是永久性的还是临时性的，这</w:t>
      </w:r>
      <w:r>
        <w:rPr>
          <w:w w:val="99"/>
        </w:rPr>
        <w:t>种评</w:t>
      </w:r>
      <w:r>
        <w:rPr>
          <w:spacing w:val="-1"/>
          <w:w w:val="99"/>
        </w:rPr>
        <w:t>价均应在变更实施前进行</w:t>
      </w:r>
      <w:r>
        <w:rPr>
          <w:spacing w:val="2"/>
          <w:w w:val="99"/>
        </w:rPr>
        <w:t>（</w:t>
      </w:r>
      <w:r>
        <w:rPr>
          <w:w w:val="99"/>
        </w:rPr>
        <w:t>见</w:t>
      </w:r>
      <w:r>
        <w:rPr>
          <w:spacing w:val="-53"/>
        </w:rPr>
        <w:t> </w:t>
      </w:r>
      <w:r>
        <w:rPr>
          <w:rFonts w:ascii="Times New Roman" w:eastAsia="Times New Roman"/>
          <w:spacing w:val="1"/>
          <w:w w:val="99"/>
        </w:rPr>
        <w:t>8</w:t>
      </w:r>
      <w:r>
        <w:rPr>
          <w:rFonts w:ascii="Times New Roman" w:eastAsia="Times New Roman"/>
          <w:w w:val="99"/>
        </w:rPr>
        <w:t>.</w:t>
      </w:r>
      <w:r>
        <w:rPr>
          <w:rFonts w:ascii="Times New Roman" w:eastAsia="Times New Roman"/>
          <w:spacing w:val="1"/>
          <w:w w:val="99"/>
        </w:rPr>
        <w:t>1</w:t>
      </w:r>
      <w:r>
        <w:rPr>
          <w:rFonts w:ascii="Times New Roman" w:eastAsia="Times New Roman"/>
          <w:w w:val="99"/>
        </w:rPr>
        <w:t>.</w:t>
      </w:r>
      <w:r>
        <w:rPr>
          <w:rFonts w:ascii="Times New Roman" w:eastAsia="Times New Roman"/>
          <w:spacing w:val="-2"/>
          <w:w w:val="99"/>
        </w:rPr>
        <w:t>3</w:t>
      </w:r>
      <w:r>
        <w:rPr>
          <w:spacing w:val="-104"/>
          <w:w w:val="99"/>
        </w:rPr>
        <w:t>）</w:t>
      </w:r>
      <w:r>
        <w:rPr>
          <w:w w:val="99"/>
        </w:rPr>
        <w:t>。</w:t>
      </w:r>
    </w:p>
    <w:p>
      <w:pPr>
        <w:pStyle w:val="BodyText"/>
        <w:spacing w:line="269" w:lineRule="exact" w:before="0"/>
        <w:ind w:left="698"/>
      </w:pPr>
      <w:r>
        <w:rPr/>
        <w:t>组织应保持以下方面的文件化信息：</w:t>
      </w:r>
    </w:p>
    <w:p>
      <w:pPr>
        <w:pStyle w:val="BodyText"/>
        <w:ind w:left="698"/>
      </w:pPr>
      <w:r>
        <w:rPr/>
        <w:t>——风险和机遇；</w:t>
      </w:r>
    </w:p>
    <w:p>
      <w:pPr>
        <w:pStyle w:val="BodyText"/>
        <w:spacing w:line="278" w:lineRule="auto"/>
        <w:ind w:left="1128" w:right="441" w:hanging="430"/>
      </w:pPr>
      <w:r>
        <w:rPr/>
        <w:t>——确定和应对其风险和机遇（见 </w:t>
      </w:r>
      <w:r>
        <w:rPr>
          <w:rFonts w:ascii="Times New Roman" w:hAnsi="Times New Roman" w:eastAsia="Times New Roman"/>
        </w:rPr>
        <w:t>6.1.2 </w:t>
      </w:r>
      <w:r>
        <w:rPr/>
        <w:t>至 </w:t>
      </w:r>
      <w:r>
        <w:rPr>
          <w:rFonts w:ascii="Times New Roman" w:hAnsi="Times New Roman" w:eastAsia="Times New Roman"/>
        </w:rPr>
        <w:t>6.1.4</w:t>
      </w:r>
      <w:r>
        <w:rPr/>
        <w:t>）所需的过程和措施。其文件化程度应足以让人确信这些过程和措施可按策划执行。</w:t>
      </w:r>
    </w:p>
    <w:p>
      <w:pPr>
        <w:pStyle w:val="ListParagraph"/>
        <w:numPr>
          <w:ilvl w:val="2"/>
          <w:numId w:val="17"/>
        </w:numPr>
        <w:tabs>
          <w:tab w:pos="1010" w:val="left" w:leader="none"/>
          <w:tab w:pos="1011" w:val="left" w:leader="none"/>
        </w:tabs>
        <w:spacing w:line="269" w:lineRule="exact" w:before="0" w:after="0"/>
        <w:ind w:left="1010" w:right="0" w:hanging="736"/>
        <w:jc w:val="left"/>
        <w:rPr>
          <w:rFonts w:ascii="黑体" w:eastAsia="黑体" w:hint="eastAsia"/>
          <w:sz w:val="21"/>
        </w:rPr>
      </w:pPr>
      <w:bookmarkStart w:name="6.1.2　危险源辨识及风险和机遇的评价" w:id="86"/>
      <w:bookmarkEnd w:id="86"/>
      <w:r>
        <w:rPr/>
      </w:r>
      <w:bookmarkStart w:name="_bookmark19" w:id="87"/>
      <w:bookmarkEnd w:id="87"/>
      <w:r>
        <w:rPr>
          <w:rFonts w:ascii="黑体" w:eastAsia="黑体" w:hint="eastAsia"/>
          <w:sz w:val="21"/>
        </w:rPr>
        <w:t>危险源辨识及风险和机遇的评价</w:t>
      </w:r>
    </w:p>
    <w:p>
      <w:pPr>
        <w:pStyle w:val="ListParagraph"/>
        <w:numPr>
          <w:ilvl w:val="3"/>
          <w:numId w:val="17"/>
        </w:numPr>
        <w:tabs>
          <w:tab w:pos="1221" w:val="left" w:leader="none"/>
          <w:tab w:pos="1222" w:val="left" w:leader="none"/>
        </w:tabs>
        <w:spacing w:line="240" w:lineRule="auto" w:before="43" w:after="0"/>
        <w:ind w:left="1221" w:right="0" w:hanging="947"/>
        <w:jc w:val="left"/>
        <w:rPr>
          <w:rFonts w:ascii="黑体" w:eastAsia="黑体" w:hint="eastAsia"/>
          <w:sz w:val="21"/>
        </w:rPr>
      </w:pPr>
      <w:bookmarkStart w:name="6.1.2.1　危险源辨识" w:id="88"/>
      <w:bookmarkEnd w:id="88"/>
      <w:r>
        <w:rPr>
          <w:rFonts w:ascii="黑体" w:eastAsia="黑体" w:hint="eastAsia"/>
          <w:sz w:val="21"/>
        </w:rPr>
        <w:t>危险源辨识</w:t>
      </w:r>
    </w:p>
    <w:p>
      <w:pPr>
        <w:pStyle w:val="BodyText"/>
        <w:ind w:left="698"/>
      </w:pPr>
      <w:r>
        <w:rPr>
          <w:spacing w:val="-1"/>
          <w:w w:val="99"/>
        </w:rPr>
        <w:t>组织应建立、实施和保持用于持续和主动的危险源辨识的过程。该过程必须考虑（</w:t>
      </w:r>
      <w:r>
        <w:rPr>
          <w:w w:val="99"/>
        </w:rPr>
        <w:t>但不限于</w:t>
      </w:r>
      <w:r>
        <w:rPr>
          <w:spacing w:val="-104"/>
          <w:w w:val="99"/>
        </w:rPr>
        <w:t>）</w:t>
      </w:r>
      <w:r>
        <w:rPr>
          <w:w w:val="99"/>
        </w:rPr>
        <w:t>：</w:t>
      </w:r>
    </w:p>
    <w:p>
      <w:pPr>
        <w:pStyle w:val="ListParagraph"/>
        <w:numPr>
          <w:ilvl w:val="4"/>
          <w:numId w:val="17"/>
        </w:numPr>
        <w:tabs>
          <w:tab w:pos="1092" w:val="left" w:leader="none"/>
        </w:tabs>
        <w:spacing w:line="278" w:lineRule="auto" w:before="43" w:after="0"/>
        <w:ind w:left="1128" w:right="501" w:hanging="430"/>
        <w:jc w:val="left"/>
        <w:rPr>
          <w:sz w:val="21"/>
        </w:rPr>
      </w:pPr>
      <w:r>
        <w:rPr>
          <w:spacing w:val="-5"/>
          <w:w w:val="99"/>
          <w:sz w:val="21"/>
        </w:rPr>
        <w:t>工作如何组织，社会因素</w:t>
      </w:r>
      <w:r>
        <w:rPr>
          <w:spacing w:val="2"/>
          <w:w w:val="99"/>
          <w:sz w:val="21"/>
        </w:rPr>
        <w:t>（</w:t>
      </w:r>
      <w:r>
        <w:rPr>
          <w:spacing w:val="-5"/>
          <w:w w:val="99"/>
          <w:sz w:val="21"/>
        </w:rPr>
        <w:t>包括工作负荷、工作时间、欺骗、骚扰和欺压</w:t>
      </w:r>
      <w:r>
        <w:rPr>
          <w:spacing w:val="-104"/>
          <w:w w:val="99"/>
          <w:sz w:val="21"/>
        </w:rPr>
        <w:t>）</w:t>
      </w:r>
      <w:r>
        <w:rPr>
          <w:spacing w:val="-3"/>
          <w:w w:val="99"/>
          <w:sz w:val="21"/>
        </w:rPr>
        <w:t>，领导作用和组织</w:t>
      </w:r>
      <w:r>
        <w:rPr>
          <w:sz w:val="21"/>
        </w:rPr>
        <w:t>的文化；</w:t>
      </w:r>
    </w:p>
    <w:p>
      <w:pPr>
        <w:pStyle w:val="ListParagraph"/>
        <w:numPr>
          <w:ilvl w:val="4"/>
          <w:numId w:val="17"/>
        </w:numPr>
        <w:tabs>
          <w:tab w:pos="1119" w:val="left" w:leader="none"/>
        </w:tabs>
        <w:spacing w:line="269" w:lineRule="exact" w:before="0" w:after="0"/>
        <w:ind w:left="1118" w:right="0" w:hanging="421"/>
        <w:jc w:val="left"/>
        <w:rPr>
          <w:sz w:val="21"/>
        </w:rPr>
      </w:pPr>
      <w:r>
        <w:rPr>
          <w:sz w:val="21"/>
        </w:rPr>
        <w:t>常规和非常规的活动和状况，包括由以下方面所产生的危险源：</w:t>
      </w:r>
    </w:p>
    <w:p>
      <w:pPr>
        <w:pStyle w:val="ListParagraph"/>
        <w:numPr>
          <w:ilvl w:val="5"/>
          <w:numId w:val="17"/>
        </w:numPr>
        <w:tabs>
          <w:tab w:pos="1442" w:val="left" w:leader="none"/>
        </w:tabs>
        <w:spacing w:line="240" w:lineRule="auto" w:before="43" w:after="0"/>
        <w:ind w:left="1441" w:right="0" w:hanging="317"/>
        <w:jc w:val="left"/>
        <w:rPr>
          <w:sz w:val="21"/>
        </w:rPr>
      </w:pPr>
      <w:r>
        <w:rPr>
          <w:sz w:val="21"/>
        </w:rPr>
        <w:t>基础设施、设备、原料、材料和工作场所的物理环境；</w:t>
      </w:r>
    </w:p>
    <w:p>
      <w:pPr>
        <w:pStyle w:val="ListParagraph"/>
        <w:numPr>
          <w:ilvl w:val="5"/>
          <w:numId w:val="17"/>
        </w:numPr>
        <w:tabs>
          <w:tab w:pos="1442" w:val="left" w:leader="none"/>
        </w:tabs>
        <w:spacing w:line="240" w:lineRule="auto" w:before="42" w:after="0"/>
        <w:ind w:left="1441" w:right="0" w:hanging="317"/>
        <w:jc w:val="left"/>
        <w:rPr>
          <w:sz w:val="21"/>
        </w:rPr>
      </w:pPr>
      <w:r>
        <w:rPr>
          <w:sz w:val="21"/>
        </w:rPr>
        <w:t>产品和服务的设计、研究、开发、测试、生产、装配、施工、交付、维护或处置；</w:t>
      </w:r>
    </w:p>
    <w:p>
      <w:pPr>
        <w:pStyle w:val="ListParagraph"/>
        <w:numPr>
          <w:ilvl w:val="5"/>
          <w:numId w:val="17"/>
        </w:numPr>
        <w:tabs>
          <w:tab w:pos="1442" w:val="left" w:leader="none"/>
        </w:tabs>
        <w:spacing w:line="240" w:lineRule="auto" w:before="43" w:after="0"/>
        <w:ind w:left="1441" w:right="0" w:hanging="317"/>
        <w:jc w:val="left"/>
        <w:rPr>
          <w:sz w:val="21"/>
        </w:rPr>
      </w:pPr>
      <w:r>
        <w:rPr>
          <w:sz w:val="21"/>
        </w:rPr>
        <w:t>人的因素；</w:t>
      </w:r>
    </w:p>
    <w:p>
      <w:pPr>
        <w:pStyle w:val="ListParagraph"/>
        <w:numPr>
          <w:ilvl w:val="5"/>
          <w:numId w:val="17"/>
        </w:numPr>
        <w:tabs>
          <w:tab w:pos="1442" w:val="left" w:leader="none"/>
        </w:tabs>
        <w:spacing w:line="240" w:lineRule="auto" w:before="43" w:after="0"/>
        <w:ind w:left="1441" w:right="0" w:hanging="317"/>
        <w:jc w:val="left"/>
        <w:rPr>
          <w:sz w:val="21"/>
        </w:rPr>
      </w:pPr>
      <w:r>
        <w:rPr>
          <w:sz w:val="21"/>
        </w:rPr>
        <w:t>工作如何执行。</w:t>
      </w:r>
    </w:p>
    <w:p>
      <w:pPr>
        <w:spacing w:after="0" w:line="240" w:lineRule="auto"/>
        <w:jc w:val="left"/>
        <w:rPr>
          <w:sz w:val="21"/>
        </w:rPr>
        <w:sectPr>
          <w:pgSz w:w="11910" w:h="16840"/>
          <w:pgMar w:header="1442" w:footer="850" w:top="1660" w:bottom="1040" w:left="1140" w:right="740"/>
        </w:sectPr>
      </w:pPr>
    </w:p>
    <w:p>
      <w:pPr>
        <w:pStyle w:val="ListParagraph"/>
        <w:numPr>
          <w:ilvl w:val="4"/>
          <w:numId w:val="17"/>
        </w:numPr>
        <w:tabs>
          <w:tab w:pos="1107" w:val="left" w:leader="none"/>
        </w:tabs>
        <w:spacing w:line="240" w:lineRule="auto" w:before="157" w:after="0"/>
        <w:ind w:left="1106" w:right="0" w:hanging="409"/>
        <w:jc w:val="left"/>
        <w:rPr>
          <w:sz w:val="21"/>
        </w:rPr>
      </w:pPr>
      <w:r>
        <w:rPr>
          <w:sz w:val="21"/>
        </w:rPr>
        <w:t>组织内部或外部以往发生的相关事件（包括紧急情况）及其原因；</w:t>
      </w:r>
    </w:p>
    <w:p>
      <w:pPr>
        <w:pStyle w:val="ListParagraph"/>
        <w:numPr>
          <w:ilvl w:val="4"/>
          <w:numId w:val="17"/>
        </w:numPr>
        <w:tabs>
          <w:tab w:pos="1119" w:val="left" w:leader="none"/>
        </w:tabs>
        <w:spacing w:line="240" w:lineRule="auto" w:before="43" w:after="0"/>
        <w:ind w:left="1118" w:right="0" w:hanging="421"/>
        <w:jc w:val="left"/>
        <w:rPr>
          <w:sz w:val="21"/>
        </w:rPr>
      </w:pPr>
      <w:r>
        <w:rPr>
          <w:w w:val="95"/>
          <w:sz w:val="21"/>
        </w:rPr>
        <w:t>潜在的紧急情况；</w:t>
      </w:r>
    </w:p>
    <w:p>
      <w:pPr>
        <w:pStyle w:val="ListParagraph"/>
        <w:numPr>
          <w:ilvl w:val="4"/>
          <w:numId w:val="17"/>
        </w:numPr>
        <w:tabs>
          <w:tab w:pos="1107" w:val="left" w:leader="none"/>
        </w:tabs>
        <w:spacing w:line="240" w:lineRule="auto" w:before="43" w:after="0"/>
        <w:ind w:left="1106" w:right="0" w:hanging="409"/>
        <w:jc w:val="left"/>
        <w:rPr>
          <w:sz w:val="21"/>
        </w:rPr>
      </w:pPr>
      <w:r>
        <w:rPr>
          <w:w w:val="95"/>
          <w:sz w:val="21"/>
        </w:rPr>
        <w:t>人员，包括考虑：</w:t>
      </w:r>
    </w:p>
    <w:p>
      <w:pPr>
        <w:pStyle w:val="ListParagraph"/>
        <w:numPr>
          <w:ilvl w:val="0"/>
          <w:numId w:val="18"/>
        </w:numPr>
        <w:tabs>
          <w:tab w:pos="1517" w:val="left" w:leader="none"/>
        </w:tabs>
        <w:spacing w:line="240" w:lineRule="auto" w:before="43" w:after="0"/>
        <w:ind w:left="1516" w:right="0" w:hanging="392"/>
        <w:jc w:val="left"/>
        <w:rPr>
          <w:sz w:val="21"/>
        </w:rPr>
      </w:pPr>
      <w:r>
        <w:rPr>
          <w:spacing w:val="-4"/>
          <w:sz w:val="21"/>
        </w:rPr>
        <w:t>那些有机会进入工作场所的人员及其活动，包括工作人员、承包方、访问者和其他人员；</w:t>
      </w:r>
    </w:p>
    <w:p>
      <w:pPr>
        <w:pStyle w:val="ListParagraph"/>
        <w:numPr>
          <w:ilvl w:val="0"/>
          <w:numId w:val="18"/>
        </w:numPr>
        <w:tabs>
          <w:tab w:pos="1546" w:val="left" w:leader="none"/>
        </w:tabs>
        <w:spacing w:line="240" w:lineRule="auto" w:before="43" w:after="0"/>
        <w:ind w:left="1545" w:right="0" w:hanging="421"/>
        <w:jc w:val="left"/>
        <w:rPr>
          <w:sz w:val="21"/>
        </w:rPr>
      </w:pPr>
      <w:r>
        <w:rPr>
          <w:sz w:val="21"/>
        </w:rPr>
        <w:t>那些处于工作场所附近可能受组织活动影响的人员；</w:t>
      </w:r>
    </w:p>
    <w:p>
      <w:pPr>
        <w:pStyle w:val="ListParagraph"/>
        <w:numPr>
          <w:ilvl w:val="0"/>
          <w:numId w:val="18"/>
        </w:numPr>
        <w:tabs>
          <w:tab w:pos="1546" w:val="left" w:leader="none"/>
        </w:tabs>
        <w:spacing w:line="240" w:lineRule="auto" w:before="43" w:after="0"/>
        <w:ind w:left="1545" w:right="0" w:hanging="421"/>
        <w:jc w:val="left"/>
        <w:rPr>
          <w:sz w:val="21"/>
        </w:rPr>
      </w:pPr>
      <w:r>
        <w:rPr>
          <w:sz w:val="21"/>
        </w:rPr>
        <w:t>处于不受组织直接控制的场所的工作人员；</w:t>
      </w:r>
    </w:p>
    <w:p>
      <w:pPr>
        <w:pStyle w:val="ListParagraph"/>
        <w:numPr>
          <w:ilvl w:val="4"/>
          <w:numId w:val="17"/>
        </w:numPr>
        <w:tabs>
          <w:tab w:pos="1083" w:val="left" w:leader="none"/>
        </w:tabs>
        <w:spacing w:line="240" w:lineRule="auto" w:before="43" w:after="0"/>
        <w:ind w:left="1082" w:right="0" w:hanging="385"/>
        <w:jc w:val="left"/>
        <w:rPr>
          <w:sz w:val="21"/>
        </w:rPr>
      </w:pPr>
      <w:r>
        <w:rPr>
          <w:sz w:val="21"/>
        </w:rPr>
        <w:t>其他议题，包括考虑：</w:t>
      </w:r>
    </w:p>
    <w:p>
      <w:pPr>
        <w:pStyle w:val="ListParagraph"/>
        <w:numPr>
          <w:ilvl w:val="0"/>
          <w:numId w:val="19"/>
        </w:numPr>
        <w:tabs>
          <w:tab w:pos="1546" w:val="left" w:leader="none"/>
        </w:tabs>
        <w:spacing w:line="278" w:lineRule="auto" w:before="43" w:after="0"/>
        <w:ind w:left="1550" w:right="506" w:hanging="425"/>
        <w:jc w:val="left"/>
        <w:rPr>
          <w:sz w:val="21"/>
        </w:rPr>
      </w:pPr>
      <w:r>
        <w:rPr>
          <w:w w:val="95"/>
          <w:sz w:val="21"/>
        </w:rPr>
        <w:t>工作区域、过程、装置、机器和（或）设备、操作程序和工作组织的设计，包括它们对  </w:t>
      </w:r>
      <w:r>
        <w:rPr>
          <w:sz w:val="21"/>
        </w:rPr>
        <w:t>所涉及工作人员的需求和能力的适应性；</w:t>
      </w:r>
    </w:p>
    <w:p>
      <w:pPr>
        <w:pStyle w:val="ListParagraph"/>
        <w:numPr>
          <w:ilvl w:val="0"/>
          <w:numId w:val="19"/>
        </w:numPr>
        <w:tabs>
          <w:tab w:pos="1546" w:val="left" w:leader="none"/>
        </w:tabs>
        <w:spacing w:line="269" w:lineRule="exact" w:before="0" w:after="0"/>
        <w:ind w:left="1545" w:right="0" w:hanging="421"/>
        <w:jc w:val="left"/>
        <w:rPr>
          <w:sz w:val="21"/>
        </w:rPr>
      </w:pPr>
      <w:r>
        <w:rPr>
          <w:sz w:val="21"/>
        </w:rPr>
        <w:t>由组织控制下的工作相关活动所导致的、发生在工作场所附近的状况；</w:t>
      </w:r>
    </w:p>
    <w:p>
      <w:pPr>
        <w:pStyle w:val="ListParagraph"/>
        <w:numPr>
          <w:ilvl w:val="0"/>
          <w:numId w:val="19"/>
        </w:numPr>
        <w:tabs>
          <w:tab w:pos="1544" w:val="left" w:leader="none"/>
        </w:tabs>
        <w:spacing w:line="278" w:lineRule="auto" w:before="43" w:after="0"/>
        <w:ind w:left="1550" w:right="506" w:hanging="425"/>
        <w:jc w:val="left"/>
        <w:rPr>
          <w:sz w:val="21"/>
        </w:rPr>
      </w:pPr>
      <w:r>
        <w:rPr>
          <w:spacing w:val="-1"/>
          <w:w w:val="95"/>
          <w:sz w:val="21"/>
        </w:rPr>
        <w:t>发生在工作场所附近、不受组织控制、可能对工作场所内的人员造成伤害和健康损害的  </w:t>
      </w:r>
      <w:r>
        <w:rPr>
          <w:spacing w:val="-1"/>
          <w:sz w:val="21"/>
        </w:rPr>
        <w:t>状况；</w:t>
      </w:r>
    </w:p>
    <w:p>
      <w:pPr>
        <w:pStyle w:val="ListParagraph"/>
        <w:numPr>
          <w:ilvl w:val="4"/>
          <w:numId w:val="17"/>
        </w:numPr>
        <w:tabs>
          <w:tab w:pos="1119" w:val="left" w:leader="none"/>
        </w:tabs>
        <w:spacing w:line="278" w:lineRule="auto" w:before="0" w:after="0"/>
        <w:ind w:left="698" w:right="981" w:firstLine="0"/>
        <w:jc w:val="left"/>
        <w:rPr>
          <w:sz w:val="21"/>
        </w:rPr>
      </w:pPr>
      <w:r>
        <w:rPr>
          <w:spacing w:val="-1"/>
          <w:w w:val="99"/>
          <w:sz w:val="21"/>
        </w:rPr>
        <w:t>组织、运行、过程、活动和职业健康安全管理体系中的实际或拟定的变更（</w:t>
      </w:r>
      <w:r>
        <w:rPr>
          <w:w w:val="99"/>
          <w:sz w:val="21"/>
        </w:rPr>
        <w:t>见</w:t>
      </w:r>
      <w:r>
        <w:rPr>
          <w:spacing w:val="-53"/>
          <w:sz w:val="21"/>
        </w:rPr>
        <w:t> </w:t>
      </w:r>
      <w:r>
        <w:rPr>
          <w:rFonts w:ascii="Times New Roman" w:eastAsia="Times New Roman"/>
          <w:spacing w:val="1"/>
          <w:w w:val="99"/>
          <w:sz w:val="21"/>
        </w:rPr>
        <w:t>8</w:t>
      </w:r>
      <w:r>
        <w:rPr>
          <w:rFonts w:ascii="Times New Roman" w:eastAsia="Times New Roman"/>
          <w:w w:val="99"/>
          <w:sz w:val="21"/>
        </w:rPr>
        <w:t>.</w:t>
      </w:r>
      <w:r>
        <w:rPr>
          <w:rFonts w:ascii="Times New Roman" w:eastAsia="Times New Roman"/>
          <w:spacing w:val="1"/>
          <w:w w:val="99"/>
          <w:sz w:val="21"/>
        </w:rPr>
        <w:t>1</w:t>
      </w:r>
      <w:r>
        <w:rPr>
          <w:rFonts w:ascii="Times New Roman" w:eastAsia="Times New Roman"/>
          <w:w w:val="99"/>
          <w:sz w:val="21"/>
        </w:rPr>
        <w:t>.</w:t>
      </w:r>
      <w:r>
        <w:rPr>
          <w:rFonts w:ascii="Times New Roman" w:eastAsia="Times New Roman"/>
          <w:spacing w:val="-2"/>
          <w:w w:val="99"/>
          <w:sz w:val="21"/>
        </w:rPr>
        <w:t>3</w:t>
      </w:r>
      <w:r>
        <w:rPr>
          <w:spacing w:val="-104"/>
          <w:w w:val="99"/>
          <w:sz w:val="21"/>
        </w:rPr>
        <w:t>）</w:t>
      </w:r>
      <w:r>
        <w:rPr>
          <w:w w:val="99"/>
          <w:sz w:val="21"/>
        </w:rPr>
        <w:t>； </w:t>
      </w:r>
      <w:r>
        <w:rPr>
          <w:rFonts w:ascii="Times New Roman" w:eastAsia="Times New Roman"/>
          <w:sz w:val="21"/>
        </w:rPr>
        <w:t>h</w:t>
      </w:r>
      <w:r>
        <w:rPr>
          <w:sz w:val="21"/>
        </w:rPr>
        <w:t>）</w:t>
      </w:r>
      <w:r>
        <w:rPr>
          <w:spacing w:val="-1"/>
          <w:sz w:val="21"/>
        </w:rPr>
        <w:t> 危险源的知识和相关信息的变更。</w:t>
      </w:r>
    </w:p>
    <w:p>
      <w:pPr>
        <w:pStyle w:val="ListParagraph"/>
        <w:numPr>
          <w:ilvl w:val="3"/>
          <w:numId w:val="17"/>
        </w:numPr>
        <w:tabs>
          <w:tab w:pos="1221" w:val="left" w:leader="none"/>
          <w:tab w:pos="1222" w:val="left" w:leader="none"/>
        </w:tabs>
        <w:spacing w:line="269" w:lineRule="exact" w:before="0" w:after="0"/>
        <w:ind w:left="1221" w:right="0" w:hanging="947"/>
        <w:jc w:val="left"/>
        <w:rPr>
          <w:rFonts w:ascii="黑体" w:eastAsia="黑体" w:hint="eastAsia"/>
          <w:sz w:val="21"/>
        </w:rPr>
      </w:pPr>
      <w:bookmarkStart w:name="6.1.2.2　职业健康安全风险和职业健康安全管理体系的其他风险的评价 " w:id="89"/>
      <w:bookmarkEnd w:id="89"/>
      <w:r>
        <w:rPr>
          <w:rFonts w:ascii="黑体" w:eastAsia="黑体" w:hint="eastAsia"/>
          <w:sz w:val="21"/>
        </w:rPr>
        <w:t>职业健康安全风险和职业健康安全管理体系的其他风险的评价</w:t>
      </w:r>
    </w:p>
    <w:p>
      <w:pPr>
        <w:pStyle w:val="BodyText"/>
        <w:ind w:left="698"/>
      </w:pPr>
      <w:r>
        <w:rPr/>
        <w:t>组织应建立、实施和保持过程，以：</w:t>
      </w:r>
    </w:p>
    <w:p>
      <w:pPr>
        <w:pStyle w:val="BodyText"/>
        <w:spacing w:line="278" w:lineRule="auto" w:before="42"/>
        <w:ind w:left="698" w:right="1255"/>
      </w:pPr>
      <w:r>
        <w:rPr>
          <w:rFonts w:ascii="Times New Roman" w:eastAsia="Times New Roman"/>
          <w:w w:val="95"/>
        </w:rPr>
        <w:t>a</w:t>
      </w:r>
      <w:r>
        <w:rPr>
          <w:w w:val="95"/>
        </w:rPr>
        <w:t>）评价来自于已辨识的危险源的职业健康安全风险，同时必须考虑现有控制的有效性； </w:t>
      </w:r>
      <w:r>
        <w:rPr>
          <w:rFonts w:ascii="Times New Roman" w:eastAsia="Times New Roman"/>
        </w:rPr>
        <w:t>b</w:t>
      </w:r>
      <w:r>
        <w:rPr/>
        <w:t>）确定和评价与建立、实施、运行和保持职业健康安全管理体系相关的其他风险。</w:t>
      </w:r>
    </w:p>
    <w:p>
      <w:pPr>
        <w:pStyle w:val="BodyText"/>
        <w:spacing w:line="278" w:lineRule="auto" w:before="0"/>
        <w:ind w:left="278" w:right="506" w:firstLine="420"/>
      </w:pPr>
      <w:r>
        <w:rPr>
          <w:w w:val="95"/>
        </w:rPr>
        <w:t>组织的职业健康安全风险评价方法和准则应在范围、性质和时机方面予以界定，以确保其是主动   </w:t>
      </w:r>
      <w:r>
        <w:rPr/>
        <w:t>的而非被动的，并被系统地使用。有关方法和准则的文件化信息应予以保持和保留。</w:t>
      </w:r>
    </w:p>
    <w:p>
      <w:pPr>
        <w:pStyle w:val="ListParagraph"/>
        <w:numPr>
          <w:ilvl w:val="3"/>
          <w:numId w:val="17"/>
        </w:numPr>
        <w:tabs>
          <w:tab w:pos="1221" w:val="left" w:leader="none"/>
          <w:tab w:pos="1222" w:val="left" w:leader="none"/>
        </w:tabs>
        <w:spacing w:line="269" w:lineRule="exact" w:before="0" w:after="0"/>
        <w:ind w:left="1221" w:right="0" w:hanging="947"/>
        <w:jc w:val="left"/>
        <w:rPr>
          <w:rFonts w:ascii="黑体" w:eastAsia="黑体" w:hint="eastAsia"/>
          <w:sz w:val="21"/>
        </w:rPr>
      </w:pPr>
      <w:bookmarkStart w:name="6.1.2.3　职业健康安全机遇和职业健康安全管理体系的其他机遇的评价" w:id="90"/>
      <w:bookmarkEnd w:id="90"/>
      <w:r>
        <w:rPr>
          <w:rFonts w:ascii="黑体" w:eastAsia="黑体" w:hint="eastAsia"/>
          <w:sz w:val="21"/>
        </w:rPr>
        <w:t>职业健康安全机遇和职业健康安全管理体系的其他机遇的评价</w:t>
      </w:r>
    </w:p>
    <w:p>
      <w:pPr>
        <w:pStyle w:val="BodyText"/>
        <w:ind w:left="698"/>
      </w:pPr>
      <w:r>
        <w:rPr>
          <w:w w:val="95"/>
        </w:rPr>
        <w:t>组织应建立、实施和保持过程，以评价：</w:t>
      </w:r>
    </w:p>
    <w:p>
      <w:pPr>
        <w:pStyle w:val="ListParagraph"/>
        <w:numPr>
          <w:ilvl w:val="0"/>
          <w:numId w:val="20"/>
        </w:numPr>
        <w:tabs>
          <w:tab w:pos="1107" w:val="left" w:leader="none"/>
        </w:tabs>
        <w:spacing w:line="278" w:lineRule="auto" w:before="43" w:after="0"/>
        <w:ind w:left="1128" w:right="506" w:hanging="430"/>
        <w:jc w:val="left"/>
        <w:rPr>
          <w:sz w:val="21"/>
        </w:rPr>
      </w:pPr>
      <w:r>
        <w:rPr>
          <w:sz w:val="21"/>
        </w:rPr>
        <w:t>提升职业健康安全绩效的职业健康安全机遇，同时必须考虑所策划的对组织及其方针、过程或活动的变更，以及：</w:t>
      </w:r>
    </w:p>
    <w:p>
      <w:pPr>
        <w:pStyle w:val="ListParagraph"/>
        <w:numPr>
          <w:ilvl w:val="1"/>
          <w:numId w:val="20"/>
        </w:numPr>
        <w:tabs>
          <w:tab w:pos="1442" w:val="left" w:leader="none"/>
        </w:tabs>
        <w:spacing w:line="269" w:lineRule="exact" w:before="0" w:after="0"/>
        <w:ind w:left="1441" w:right="0" w:hanging="317"/>
        <w:jc w:val="left"/>
        <w:rPr>
          <w:sz w:val="21"/>
        </w:rPr>
      </w:pPr>
      <w:r>
        <w:rPr>
          <w:sz w:val="21"/>
        </w:rPr>
        <w:t>使工作、工作组织和工作环境适合于工作人员的机遇；</w:t>
      </w:r>
    </w:p>
    <w:p>
      <w:pPr>
        <w:pStyle w:val="ListParagraph"/>
        <w:numPr>
          <w:ilvl w:val="1"/>
          <w:numId w:val="20"/>
        </w:numPr>
        <w:tabs>
          <w:tab w:pos="1442" w:val="left" w:leader="none"/>
        </w:tabs>
        <w:spacing w:line="278" w:lineRule="auto" w:before="43" w:after="0"/>
        <w:ind w:left="698" w:right="4384" w:firstLine="427"/>
        <w:jc w:val="left"/>
        <w:rPr>
          <w:sz w:val="21"/>
        </w:rPr>
      </w:pPr>
      <w:r>
        <w:rPr>
          <w:sz w:val="21"/>
        </w:rPr>
        <w:t>消除危险源和降低职业健康安全风险的机遇； </w:t>
      </w:r>
      <w:r>
        <w:rPr>
          <w:rFonts w:ascii="Times New Roman" w:eastAsia="Times New Roman"/>
          <w:sz w:val="21"/>
        </w:rPr>
        <w:t>b</w:t>
      </w:r>
      <w:r>
        <w:rPr>
          <w:sz w:val="21"/>
        </w:rPr>
        <w:t>）</w:t>
      </w:r>
      <w:r>
        <w:rPr>
          <w:spacing w:val="-1"/>
          <w:sz w:val="21"/>
        </w:rPr>
        <w:t> 改进职业健康安全管理体系的其他机遇。</w:t>
      </w:r>
    </w:p>
    <w:p>
      <w:pPr>
        <w:spacing w:before="20"/>
        <w:ind w:left="700" w:right="0" w:firstLine="0"/>
        <w:jc w:val="left"/>
        <w:rPr>
          <w:sz w:val="18"/>
        </w:rPr>
      </w:pPr>
      <w:r>
        <w:rPr>
          <w:sz w:val="18"/>
        </w:rPr>
        <w:t>注：职业健康安全风险和职业健康安全机遇可能会给组织带来其他风险和其他机遇。</w:t>
      </w:r>
    </w:p>
    <w:p>
      <w:pPr>
        <w:pStyle w:val="ListParagraph"/>
        <w:numPr>
          <w:ilvl w:val="2"/>
          <w:numId w:val="17"/>
        </w:numPr>
        <w:tabs>
          <w:tab w:pos="1010" w:val="left" w:leader="none"/>
          <w:tab w:pos="1011" w:val="left" w:leader="none"/>
        </w:tabs>
        <w:spacing w:line="240" w:lineRule="auto" w:before="61" w:after="0"/>
        <w:ind w:left="1010" w:right="0" w:hanging="736"/>
        <w:jc w:val="left"/>
        <w:rPr>
          <w:rFonts w:ascii="黑体" w:eastAsia="黑体" w:hint="eastAsia"/>
          <w:sz w:val="21"/>
        </w:rPr>
      </w:pPr>
      <w:bookmarkStart w:name="6.1.3　法律法规要求和其他要求的确定" w:id="91"/>
      <w:bookmarkEnd w:id="91"/>
      <w:r>
        <w:rPr/>
      </w:r>
      <w:bookmarkStart w:name="_bookmark20" w:id="92"/>
      <w:bookmarkEnd w:id="92"/>
      <w:r>
        <w:rPr>
          <w:rFonts w:ascii="黑体" w:eastAsia="黑体" w:hint="eastAsia"/>
          <w:sz w:val="21"/>
        </w:rPr>
        <w:t>法律法规要求和其他要求的确定</w:t>
      </w:r>
    </w:p>
    <w:p>
      <w:pPr>
        <w:pStyle w:val="BodyText"/>
        <w:ind w:left="698"/>
      </w:pPr>
      <w:r>
        <w:rPr/>
        <w:t>组织应建立、实施和保持过程，以：</w:t>
      </w:r>
    </w:p>
    <w:p>
      <w:pPr>
        <w:pStyle w:val="ListParagraph"/>
        <w:numPr>
          <w:ilvl w:val="0"/>
          <w:numId w:val="21"/>
        </w:numPr>
        <w:tabs>
          <w:tab w:pos="1107" w:val="left" w:leader="none"/>
        </w:tabs>
        <w:spacing w:line="278" w:lineRule="auto" w:before="43" w:after="0"/>
        <w:ind w:left="1128" w:right="506" w:hanging="430"/>
        <w:jc w:val="left"/>
        <w:rPr>
          <w:sz w:val="21"/>
        </w:rPr>
      </w:pPr>
      <w:r>
        <w:rPr>
          <w:sz w:val="21"/>
        </w:rPr>
        <w:t>确定并获取最新的适用于组织的危险源、职业健康安全风险和职业健康安全管理体系的法律法规要求和其他要求；</w:t>
      </w:r>
    </w:p>
    <w:p>
      <w:pPr>
        <w:pStyle w:val="ListParagraph"/>
        <w:numPr>
          <w:ilvl w:val="0"/>
          <w:numId w:val="21"/>
        </w:numPr>
        <w:tabs>
          <w:tab w:pos="1119" w:val="left" w:leader="none"/>
        </w:tabs>
        <w:spacing w:line="269" w:lineRule="exact" w:before="0" w:after="0"/>
        <w:ind w:left="1118" w:right="0" w:hanging="421"/>
        <w:jc w:val="left"/>
        <w:rPr>
          <w:sz w:val="21"/>
        </w:rPr>
      </w:pPr>
      <w:r>
        <w:rPr>
          <w:sz w:val="21"/>
        </w:rPr>
        <w:t>确定如何将这些法律法规要求和其他要求应用于组织，以及所需沟通的内容；</w:t>
      </w:r>
    </w:p>
    <w:p>
      <w:pPr>
        <w:pStyle w:val="ListParagraph"/>
        <w:numPr>
          <w:ilvl w:val="0"/>
          <w:numId w:val="21"/>
        </w:numPr>
        <w:tabs>
          <w:tab w:pos="1107" w:val="left" w:leader="none"/>
        </w:tabs>
        <w:spacing w:line="278" w:lineRule="auto" w:before="43" w:after="0"/>
        <w:ind w:left="1128" w:right="506" w:hanging="430"/>
        <w:jc w:val="left"/>
        <w:rPr>
          <w:sz w:val="21"/>
        </w:rPr>
      </w:pPr>
      <w:r>
        <w:rPr>
          <w:sz w:val="21"/>
        </w:rPr>
        <w:t>在建立、实施、保持和持续改进其职业健康安全管理体系时，必须考虑这些法律法规要求和其他要求。</w:t>
      </w:r>
    </w:p>
    <w:p>
      <w:pPr>
        <w:pStyle w:val="BodyText"/>
        <w:spacing w:line="269" w:lineRule="exact" w:before="0"/>
        <w:ind w:left="698"/>
      </w:pPr>
      <w:r>
        <w:rPr/>
        <w:t>组织应保持和保留有关法律法规要求和其他要求的文件化信息，并确保及时更新以反映任何变化。</w:t>
      </w:r>
    </w:p>
    <w:p>
      <w:pPr>
        <w:spacing w:before="63"/>
        <w:ind w:left="700" w:right="0" w:firstLine="0"/>
        <w:jc w:val="left"/>
        <w:rPr>
          <w:sz w:val="18"/>
        </w:rPr>
      </w:pPr>
      <w:r>
        <w:rPr>
          <w:sz w:val="18"/>
        </w:rPr>
        <w:t>注：法律法规要求和其他要求可能会给组织带来风险和机遇。</w:t>
      </w:r>
    </w:p>
    <w:p>
      <w:pPr>
        <w:pStyle w:val="ListParagraph"/>
        <w:numPr>
          <w:ilvl w:val="2"/>
          <w:numId w:val="17"/>
        </w:numPr>
        <w:tabs>
          <w:tab w:pos="1010" w:val="left" w:leader="none"/>
          <w:tab w:pos="1011" w:val="left" w:leader="none"/>
        </w:tabs>
        <w:spacing w:line="278" w:lineRule="auto" w:before="61" w:after="0"/>
        <w:ind w:left="698" w:right="7965" w:hanging="423"/>
        <w:jc w:val="left"/>
        <w:rPr>
          <w:sz w:val="21"/>
        </w:rPr>
      </w:pPr>
      <w:bookmarkStart w:name="6.1.4　措施的策划" w:id="93"/>
      <w:bookmarkEnd w:id="93"/>
      <w:r>
        <w:rPr/>
      </w:r>
      <w:bookmarkStart w:name="_bookmark21" w:id="94"/>
      <w:bookmarkEnd w:id="94"/>
      <w:r>
        <w:rPr>
          <w:rFonts w:ascii="黑体" w:eastAsia="黑体" w:hint="eastAsia"/>
          <w:spacing w:val="-3"/>
          <w:sz w:val="21"/>
        </w:rPr>
        <w:t>措施的策划</w:t>
      </w:r>
      <w:r>
        <w:rPr>
          <w:sz w:val="21"/>
        </w:rPr>
        <w:t>组织应策划： </w:t>
      </w:r>
      <w:r>
        <w:rPr>
          <w:rFonts w:ascii="Times New Roman" w:eastAsia="Times New Roman"/>
          <w:sz w:val="21"/>
        </w:rPr>
        <w:t>a</w:t>
      </w:r>
      <w:r>
        <w:rPr>
          <w:sz w:val="21"/>
        </w:rPr>
        <w:t>）措施，以：</w:t>
      </w:r>
    </w:p>
    <w:p>
      <w:pPr>
        <w:pStyle w:val="BodyText"/>
        <w:spacing w:line="269" w:lineRule="exact" w:before="0"/>
        <w:ind w:left="986"/>
      </w:pPr>
      <w:r>
        <w:rPr>
          <w:rFonts w:ascii="Times New Roman" w:eastAsia="Times New Roman"/>
          <w:spacing w:val="1"/>
          <w:w w:val="99"/>
        </w:rPr>
        <w:t>1</w:t>
      </w:r>
      <w:r>
        <w:rPr>
          <w:spacing w:val="-1"/>
          <w:w w:val="99"/>
        </w:rPr>
        <w:t>）应对这些风险和机遇（</w:t>
      </w:r>
      <w:r>
        <w:rPr>
          <w:w w:val="99"/>
        </w:rPr>
        <w:t>见</w:t>
      </w:r>
      <w:r>
        <w:rPr>
          <w:spacing w:val="-53"/>
        </w:rPr>
        <w:t> </w:t>
      </w:r>
      <w:r>
        <w:rPr>
          <w:rFonts w:ascii="Times New Roman" w:eastAsia="Times New Roman"/>
          <w:spacing w:val="1"/>
          <w:w w:val="99"/>
        </w:rPr>
        <w:t>6</w:t>
      </w:r>
      <w:r>
        <w:rPr>
          <w:rFonts w:ascii="Times New Roman" w:eastAsia="Times New Roman"/>
          <w:w w:val="99"/>
        </w:rPr>
        <w:t>.</w:t>
      </w:r>
      <w:r>
        <w:rPr>
          <w:rFonts w:ascii="Times New Roman" w:eastAsia="Times New Roman"/>
          <w:spacing w:val="1"/>
          <w:w w:val="99"/>
        </w:rPr>
        <w:t>1</w:t>
      </w:r>
      <w:r>
        <w:rPr>
          <w:rFonts w:ascii="Times New Roman" w:eastAsia="Times New Roman"/>
          <w:w w:val="99"/>
        </w:rPr>
        <w:t>.</w:t>
      </w:r>
      <w:r>
        <w:rPr>
          <w:rFonts w:ascii="Times New Roman" w:eastAsia="Times New Roman"/>
          <w:spacing w:val="-2"/>
          <w:w w:val="99"/>
        </w:rPr>
        <w:t>2</w:t>
      </w:r>
      <w:r>
        <w:rPr>
          <w:rFonts w:ascii="Times New Roman" w:eastAsia="Times New Roman"/>
          <w:w w:val="99"/>
        </w:rPr>
        <w:t>.2</w:t>
      </w:r>
      <w:r>
        <w:rPr>
          <w:rFonts w:ascii="Times New Roman" w:eastAsia="Times New Roman"/>
          <w:spacing w:val="1"/>
        </w:rPr>
        <w:t> </w:t>
      </w:r>
      <w:r>
        <w:rPr>
          <w:w w:val="99"/>
        </w:rPr>
        <w:t>和</w:t>
      </w:r>
      <w:r>
        <w:rPr>
          <w:spacing w:val="-53"/>
        </w:rPr>
        <w:t> </w:t>
      </w:r>
      <w:r>
        <w:rPr>
          <w:rFonts w:ascii="Times New Roman" w:eastAsia="Times New Roman"/>
          <w:spacing w:val="1"/>
          <w:w w:val="99"/>
        </w:rPr>
        <w:t>6</w:t>
      </w:r>
      <w:r>
        <w:rPr>
          <w:rFonts w:ascii="Times New Roman" w:eastAsia="Times New Roman"/>
          <w:w w:val="99"/>
        </w:rPr>
        <w:t>.</w:t>
      </w:r>
      <w:r>
        <w:rPr>
          <w:rFonts w:ascii="Times New Roman" w:eastAsia="Times New Roman"/>
          <w:spacing w:val="1"/>
          <w:w w:val="99"/>
        </w:rPr>
        <w:t>1</w:t>
      </w:r>
      <w:r>
        <w:rPr>
          <w:rFonts w:ascii="Times New Roman" w:eastAsia="Times New Roman"/>
          <w:w w:val="99"/>
        </w:rPr>
        <w:t>.</w:t>
      </w:r>
      <w:r>
        <w:rPr>
          <w:rFonts w:ascii="Times New Roman" w:eastAsia="Times New Roman"/>
          <w:spacing w:val="-2"/>
          <w:w w:val="99"/>
        </w:rPr>
        <w:t>2</w:t>
      </w:r>
      <w:r>
        <w:rPr>
          <w:rFonts w:ascii="Times New Roman" w:eastAsia="Times New Roman"/>
          <w:w w:val="99"/>
        </w:rPr>
        <w:t>.</w:t>
      </w:r>
      <w:r>
        <w:rPr>
          <w:rFonts w:ascii="Times New Roman" w:eastAsia="Times New Roman"/>
          <w:spacing w:val="1"/>
          <w:w w:val="99"/>
        </w:rPr>
        <w:t>3</w:t>
      </w:r>
      <w:r>
        <w:rPr>
          <w:spacing w:val="-106"/>
          <w:w w:val="99"/>
        </w:rPr>
        <w:t>）</w:t>
      </w:r>
      <w:r>
        <w:rPr>
          <w:w w:val="99"/>
        </w:rPr>
        <w:t>；</w:t>
      </w:r>
    </w:p>
    <w:p>
      <w:pPr>
        <w:pStyle w:val="ListParagraph"/>
        <w:numPr>
          <w:ilvl w:val="0"/>
          <w:numId w:val="22"/>
        </w:numPr>
        <w:tabs>
          <w:tab w:pos="1302" w:val="left" w:leader="none"/>
        </w:tabs>
        <w:spacing w:line="240" w:lineRule="auto" w:before="43" w:after="0"/>
        <w:ind w:left="1302" w:right="0" w:hanging="316"/>
        <w:jc w:val="left"/>
        <w:rPr>
          <w:sz w:val="21"/>
        </w:rPr>
      </w:pPr>
      <w:r>
        <w:rPr>
          <w:spacing w:val="-1"/>
          <w:w w:val="99"/>
          <w:sz w:val="21"/>
        </w:rPr>
        <w:t>满足法律法规要求和其他要求（</w:t>
      </w:r>
      <w:r>
        <w:rPr>
          <w:w w:val="99"/>
          <w:sz w:val="21"/>
        </w:rPr>
        <w:t>见</w:t>
      </w:r>
      <w:r>
        <w:rPr>
          <w:spacing w:val="-53"/>
          <w:sz w:val="21"/>
        </w:rPr>
        <w:t> </w:t>
      </w:r>
      <w:r>
        <w:rPr>
          <w:rFonts w:ascii="Times New Roman" w:eastAsia="Times New Roman"/>
          <w:spacing w:val="1"/>
          <w:w w:val="99"/>
          <w:sz w:val="21"/>
        </w:rPr>
        <w:t>6</w:t>
      </w:r>
      <w:r>
        <w:rPr>
          <w:rFonts w:ascii="Times New Roman" w:eastAsia="Times New Roman"/>
          <w:w w:val="99"/>
          <w:sz w:val="21"/>
        </w:rPr>
        <w:t>.</w:t>
      </w:r>
      <w:r>
        <w:rPr>
          <w:rFonts w:ascii="Times New Roman" w:eastAsia="Times New Roman"/>
          <w:spacing w:val="1"/>
          <w:w w:val="99"/>
          <w:sz w:val="21"/>
        </w:rPr>
        <w:t>1</w:t>
      </w:r>
      <w:r>
        <w:rPr>
          <w:rFonts w:ascii="Times New Roman" w:eastAsia="Times New Roman"/>
          <w:w w:val="99"/>
          <w:sz w:val="21"/>
        </w:rPr>
        <w:t>.</w:t>
      </w:r>
      <w:r>
        <w:rPr>
          <w:rFonts w:ascii="Times New Roman" w:eastAsia="Times New Roman"/>
          <w:spacing w:val="-2"/>
          <w:w w:val="99"/>
          <w:sz w:val="21"/>
        </w:rPr>
        <w:t>3</w:t>
      </w:r>
      <w:r>
        <w:rPr>
          <w:spacing w:val="-104"/>
          <w:w w:val="99"/>
          <w:sz w:val="21"/>
        </w:rPr>
        <w:t>）</w:t>
      </w:r>
      <w:r>
        <w:rPr>
          <w:w w:val="99"/>
          <w:sz w:val="21"/>
        </w:rPr>
        <w:t>；</w:t>
      </w:r>
    </w:p>
    <w:p>
      <w:pPr>
        <w:pStyle w:val="ListParagraph"/>
        <w:numPr>
          <w:ilvl w:val="0"/>
          <w:numId w:val="22"/>
        </w:numPr>
        <w:tabs>
          <w:tab w:pos="1302" w:val="left" w:leader="none"/>
        </w:tabs>
        <w:spacing w:line="278" w:lineRule="auto" w:before="43" w:after="0"/>
        <w:ind w:left="698" w:right="5155" w:firstLine="288"/>
        <w:jc w:val="left"/>
        <w:rPr>
          <w:sz w:val="21"/>
        </w:rPr>
      </w:pPr>
      <w:r>
        <w:rPr>
          <w:spacing w:val="-1"/>
          <w:w w:val="99"/>
          <w:sz w:val="21"/>
        </w:rPr>
        <w:t>对紧急情况做出准备和响应</w:t>
      </w:r>
      <w:r>
        <w:rPr>
          <w:spacing w:val="2"/>
          <w:w w:val="99"/>
          <w:sz w:val="21"/>
        </w:rPr>
        <w:t>（</w:t>
      </w:r>
      <w:r>
        <w:rPr>
          <w:w w:val="99"/>
          <w:sz w:val="21"/>
        </w:rPr>
        <w:t>见</w:t>
      </w:r>
      <w:r>
        <w:rPr>
          <w:spacing w:val="-53"/>
          <w:sz w:val="21"/>
        </w:rPr>
        <w:t> </w:t>
      </w:r>
      <w:r>
        <w:rPr>
          <w:rFonts w:ascii="Times New Roman" w:eastAsia="Times New Roman"/>
          <w:spacing w:val="1"/>
          <w:w w:val="99"/>
          <w:sz w:val="21"/>
        </w:rPr>
        <w:t>8</w:t>
      </w:r>
      <w:r>
        <w:rPr>
          <w:rFonts w:ascii="Times New Roman" w:eastAsia="Times New Roman"/>
          <w:w w:val="99"/>
          <w:sz w:val="21"/>
        </w:rPr>
        <w:t>.</w:t>
      </w:r>
      <w:r>
        <w:rPr>
          <w:rFonts w:ascii="Times New Roman" w:eastAsia="Times New Roman"/>
          <w:spacing w:val="-2"/>
          <w:w w:val="99"/>
          <w:sz w:val="21"/>
        </w:rPr>
        <w:t>2</w:t>
      </w:r>
      <w:r>
        <w:rPr>
          <w:spacing w:val="-104"/>
          <w:w w:val="99"/>
          <w:sz w:val="21"/>
        </w:rPr>
        <w:t>）</w:t>
      </w:r>
      <w:r>
        <w:rPr>
          <w:w w:val="99"/>
          <w:sz w:val="21"/>
        </w:rPr>
        <w:t>； </w:t>
      </w:r>
      <w:r>
        <w:rPr>
          <w:rFonts w:ascii="Times New Roman" w:eastAsia="Times New Roman"/>
          <w:sz w:val="21"/>
        </w:rPr>
        <w:t>b</w:t>
      </w:r>
      <w:r>
        <w:rPr>
          <w:sz w:val="21"/>
        </w:rPr>
        <w:t>）如何：</w:t>
      </w:r>
    </w:p>
    <w:p>
      <w:pPr>
        <w:spacing w:after="0" w:line="278" w:lineRule="auto"/>
        <w:jc w:val="left"/>
        <w:rPr>
          <w:sz w:val="21"/>
        </w:rPr>
        <w:sectPr>
          <w:footerReference w:type="even" r:id="rId17"/>
          <w:footerReference w:type="default" r:id="rId18"/>
          <w:pgSz w:w="11910" w:h="16840"/>
          <w:pgMar w:footer="850" w:header="1442" w:top="1660" w:bottom="1040" w:left="1140" w:right="740"/>
          <w:pgNumType w:start="10"/>
        </w:sectPr>
      </w:pPr>
    </w:p>
    <w:p>
      <w:pPr>
        <w:pStyle w:val="ListParagraph"/>
        <w:numPr>
          <w:ilvl w:val="0"/>
          <w:numId w:val="23"/>
        </w:numPr>
        <w:tabs>
          <w:tab w:pos="1302" w:val="left" w:leader="none"/>
        </w:tabs>
        <w:spacing w:line="240" w:lineRule="auto" w:before="157" w:after="0"/>
        <w:ind w:left="1302" w:right="0" w:hanging="316"/>
        <w:jc w:val="left"/>
        <w:rPr>
          <w:sz w:val="21"/>
        </w:rPr>
      </w:pPr>
      <w:r>
        <w:rPr>
          <w:sz w:val="21"/>
        </w:rPr>
        <w:t>在其职业健康安全管理体系过程中或其他业务过程中融入并实施这些措施；</w:t>
      </w:r>
    </w:p>
    <w:p>
      <w:pPr>
        <w:pStyle w:val="ListParagraph"/>
        <w:numPr>
          <w:ilvl w:val="0"/>
          <w:numId w:val="23"/>
        </w:numPr>
        <w:tabs>
          <w:tab w:pos="1302" w:val="left" w:leader="none"/>
        </w:tabs>
        <w:spacing w:line="240" w:lineRule="auto" w:before="43" w:after="0"/>
        <w:ind w:left="1302" w:right="0" w:hanging="316"/>
        <w:jc w:val="left"/>
        <w:rPr>
          <w:sz w:val="21"/>
        </w:rPr>
      </w:pPr>
      <w:r>
        <w:rPr>
          <w:sz w:val="21"/>
        </w:rPr>
        <w:t>评价这些措施的有效性。</w:t>
      </w:r>
    </w:p>
    <w:p>
      <w:pPr>
        <w:pStyle w:val="BodyText"/>
        <w:spacing w:line="278" w:lineRule="auto"/>
        <w:ind w:left="698" w:right="1231"/>
      </w:pPr>
      <w:r>
        <w:rPr/>
        <w:t>在策划措施时，组织必须考虑控制的层级（见 </w:t>
      </w:r>
      <w:r>
        <w:rPr>
          <w:rFonts w:ascii="Times New Roman" w:eastAsia="Times New Roman"/>
        </w:rPr>
        <w:t>8.1.2</w:t>
      </w:r>
      <w:r>
        <w:rPr/>
        <w:t>）和职业健康安全管理体系的输出。在策划措施时，组织还应考虑最佳实践、可选技术方案以及财务、运行和经营等要求。</w:t>
      </w:r>
    </w:p>
    <w:p>
      <w:pPr>
        <w:pStyle w:val="ListParagraph"/>
        <w:numPr>
          <w:ilvl w:val="1"/>
          <w:numId w:val="24"/>
        </w:numPr>
        <w:tabs>
          <w:tab w:pos="803" w:val="left" w:leader="none"/>
          <w:tab w:pos="804" w:val="left" w:leader="none"/>
        </w:tabs>
        <w:spacing w:line="269" w:lineRule="exact" w:before="0" w:after="0"/>
        <w:ind w:left="804" w:right="0" w:hanging="526"/>
        <w:jc w:val="left"/>
        <w:rPr>
          <w:rFonts w:ascii="黑体" w:eastAsia="黑体" w:hint="eastAsia"/>
          <w:sz w:val="21"/>
        </w:rPr>
      </w:pPr>
      <w:bookmarkStart w:name="6.2　职业健康安全目标及其实现的策划" w:id="95"/>
      <w:bookmarkEnd w:id="95"/>
      <w:r>
        <w:rPr/>
      </w:r>
      <w:bookmarkStart w:name="_bookmark22" w:id="96"/>
      <w:bookmarkEnd w:id="96"/>
      <w:r>
        <w:rPr>
          <w:rFonts w:ascii="黑体" w:eastAsia="黑体" w:hint="eastAsia"/>
          <w:sz w:val="21"/>
        </w:rPr>
        <w:t>职业健康安全目标及其实现的策划</w:t>
      </w:r>
    </w:p>
    <w:p>
      <w:pPr>
        <w:pStyle w:val="ListParagraph"/>
        <w:numPr>
          <w:ilvl w:val="2"/>
          <w:numId w:val="24"/>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6.2.1　职业健康安全目标" w:id="97"/>
      <w:bookmarkEnd w:id="97"/>
      <w:r>
        <w:rPr/>
      </w:r>
      <w:bookmarkStart w:name="_bookmark23" w:id="98"/>
      <w:bookmarkEnd w:id="98"/>
      <w:r>
        <w:rPr>
          <w:rFonts w:ascii="黑体" w:eastAsia="黑体" w:hint="eastAsia"/>
          <w:sz w:val="21"/>
        </w:rPr>
        <w:t>职业健康安全目标</w:t>
      </w:r>
    </w:p>
    <w:p>
      <w:pPr>
        <w:pStyle w:val="BodyText"/>
        <w:spacing w:line="278" w:lineRule="auto"/>
        <w:ind w:left="278" w:right="506" w:firstLine="420"/>
      </w:pPr>
      <w:r>
        <w:rPr>
          <w:w w:val="95"/>
        </w:rPr>
        <w:t>组织应在相关职能和层次上制定职业健康安全目标，以保持和持续改进职业健康安全管理体系和</w:t>
      </w:r>
      <w:r>
        <w:rPr>
          <w:w w:val="99"/>
        </w:rPr>
        <w:t>职业</w:t>
      </w:r>
      <w:r>
        <w:rPr>
          <w:spacing w:val="-1"/>
          <w:w w:val="99"/>
        </w:rPr>
        <w:t>健康安全绩效（</w:t>
      </w:r>
      <w:r>
        <w:rPr>
          <w:w w:val="99"/>
        </w:rPr>
        <w:t>见</w:t>
      </w:r>
      <w:r>
        <w:rPr>
          <w:spacing w:val="-53"/>
        </w:rPr>
        <w:t> </w:t>
      </w:r>
      <w:r>
        <w:rPr>
          <w:rFonts w:ascii="Times New Roman" w:eastAsia="Times New Roman"/>
          <w:spacing w:val="1"/>
          <w:w w:val="99"/>
        </w:rPr>
        <w:t>10</w:t>
      </w:r>
      <w:r>
        <w:rPr>
          <w:rFonts w:ascii="Times New Roman" w:eastAsia="Times New Roman"/>
          <w:w w:val="99"/>
        </w:rPr>
        <w:t>.</w:t>
      </w:r>
      <w:r>
        <w:rPr>
          <w:rFonts w:ascii="Times New Roman" w:eastAsia="Times New Roman"/>
          <w:spacing w:val="1"/>
          <w:w w:val="99"/>
        </w:rPr>
        <w:t>3</w:t>
      </w:r>
      <w:r>
        <w:rPr>
          <w:spacing w:val="-104"/>
          <w:w w:val="99"/>
        </w:rPr>
        <w:t>）</w:t>
      </w:r>
      <w:r>
        <w:rPr>
          <w:w w:val="99"/>
        </w:rPr>
        <w:t>。</w:t>
      </w:r>
    </w:p>
    <w:p>
      <w:pPr>
        <w:pStyle w:val="BodyText"/>
        <w:spacing w:line="269" w:lineRule="exact" w:before="0"/>
        <w:ind w:left="698"/>
      </w:pPr>
      <w:r>
        <w:rPr/>
        <w:t>职业健康安全目标应：</w:t>
      </w:r>
    </w:p>
    <w:p>
      <w:pPr>
        <w:pStyle w:val="ListParagraph"/>
        <w:numPr>
          <w:ilvl w:val="3"/>
          <w:numId w:val="24"/>
        </w:numPr>
        <w:tabs>
          <w:tab w:pos="1112" w:val="left" w:leader="none"/>
        </w:tabs>
        <w:spacing w:line="240" w:lineRule="auto" w:before="43" w:after="0"/>
        <w:ind w:left="1111" w:right="0" w:hanging="409"/>
        <w:jc w:val="left"/>
        <w:rPr>
          <w:sz w:val="21"/>
        </w:rPr>
      </w:pPr>
      <w:r>
        <w:rPr>
          <w:sz w:val="21"/>
        </w:rPr>
        <w:t>与职业健康安全方针一致；</w:t>
      </w:r>
    </w:p>
    <w:p>
      <w:pPr>
        <w:pStyle w:val="ListParagraph"/>
        <w:numPr>
          <w:ilvl w:val="3"/>
          <w:numId w:val="24"/>
        </w:numPr>
        <w:tabs>
          <w:tab w:pos="1124" w:val="left" w:leader="none"/>
        </w:tabs>
        <w:spacing w:line="240" w:lineRule="auto" w:before="43" w:after="0"/>
        <w:ind w:left="1123" w:right="0" w:hanging="421"/>
        <w:jc w:val="left"/>
        <w:rPr>
          <w:sz w:val="21"/>
        </w:rPr>
      </w:pPr>
      <w:r>
        <w:rPr>
          <w:spacing w:val="-1"/>
          <w:w w:val="99"/>
          <w:sz w:val="21"/>
        </w:rPr>
        <w:t>可测量</w:t>
      </w:r>
      <w:r>
        <w:rPr>
          <w:spacing w:val="2"/>
          <w:w w:val="99"/>
          <w:sz w:val="21"/>
        </w:rPr>
        <w:t>（</w:t>
      </w:r>
      <w:r>
        <w:rPr>
          <w:w w:val="99"/>
          <w:sz w:val="21"/>
        </w:rPr>
        <w:t>可行时</w:t>
      </w:r>
      <w:r>
        <w:rPr>
          <w:spacing w:val="-104"/>
          <w:w w:val="99"/>
          <w:sz w:val="21"/>
        </w:rPr>
        <w:t>）</w:t>
      </w:r>
      <w:r>
        <w:rPr>
          <w:spacing w:val="-1"/>
          <w:w w:val="99"/>
          <w:sz w:val="21"/>
        </w:rPr>
        <w:t>，或能够进行绩效评价；</w:t>
      </w:r>
    </w:p>
    <w:p>
      <w:pPr>
        <w:pStyle w:val="ListParagraph"/>
        <w:numPr>
          <w:ilvl w:val="3"/>
          <w:numId w:val="24"/>
        </w:numPr>
        <w:tabs>
          <w:tab w:pos="1112" w:val="left" w:leader="none"/>
        </w:tabs>
        <w:spacing w:line="240" w:lineRule="auto" w:before="43" w:after="0"/>
        <w:ind w:left="1111" w:right="0" w:hanging="409"/>
        <w:jc w:val="left"/>
        <w:rPr>
          <w:sz w:val="21"/>
        </w:rPr>
      </w:pPr>
      <w:r>
        <w:rPr>
          <w:sz w:val="21"/>
        </w:rPr>
        <w:t>必须考虑：</w:t>
      </w:r>
    </w:p>
    <w:p>
      <w:pPr>
        <w:pStyle w:val="BodyText"/>
        <w:ind w:left="1128"/>
      </w:pPr>
      <w:r>
        <w:rPr>
          <w:rFonts w:ascii="Times New Roman" w:eastAsia="Times New Roman"/>
        </w:rPr>
        <w:t>1</w:t>
      </w:r>
      <w:r>
        <w:rPr/>
        <w:t>） 适用的要求；</w:t>
      </w:r>
    </w:p>
    <w:p>
      <w:pPr>
        <w:pStyle w:val="BodyText"/>
        <w:ind w:left="1128"/>
      </w:pPr>
      <w:r>
        <w:rPr>
          <w:rFonts w:ascii="Times New Roman" w:eastAsia="Times New Roman"/>
          <w:spacing w:val="1"/>
          <w:w w:val="99"/>
        </w:rPr>
        <w:t>2</w:t>
      </w:r>
      <w:r>
        <w:rPr>
          <w:w w:val="99"/>
        </w:rPr>
        <w:t>）</w:t>
      </w:r>
      <w:r>
        <w:rPr/>
        <w:t> </w:t>
      </w:r>
      <w:r>
        <w:rPr>
          <w:spacing w:val="-1"/>
          <w:w w:val="99"/>
        </w:rPr>
        <w:t>风险和机遇的评价结果（</w:t>
      </w:r>
      <w:r>
        <w:rPr>
          <w:w w:val="99"/>
        </w:rPr>
        <w:t>见</w:t>
      </w:r>
      <w:r>
        <w:rPr>
          <w:spacing w:val="-50"/>
        </w:rPr>
        <w:t> </w:t>
      </w:r>
      <w:r>
        <w:rPr>
          <w:rFonts w:ascii="Times New Roman" w:eastAsia="Times New Roman"/>
          <w:spacing w:val="1"/>
          <w:w w:val="99"/>
        </w:rPr>
        <w:t>6</w:t>
      </w:r>
      <w:r>
        <w:rPr>
          <w:rFonts w:ascii="Times New Roman" w:eastAsia="Times New Roman"/>
          <w:w w:val="99"/>
        </w:rPr>
        <w:t>.</w:t>
      </w:r>
      <w:r>
        <w:rPr>
          <w:rFonts w:ascii="Times New Roman" w:eastAsia="Times New Roman"/>
          <w:spacing w:val="1"/>
          <w:w w:val="99"/>
        </w:rPr>
        <w:t>1</w:t>
      </w:r>
      <w:r>
        <w:rPr>
          <w:rFonts w:ascii="Times New Roman" w:eastAsia="Times New Roman"/>
          <w:w w:val="99"/>
        </w:rPr>
        <w:t>.</w:t>
      </w:r>
      <w:r>
        <w:rPr>
          <w:rFonts w:ascii="Times New Roman" w:eastAsia="Times New Roman"/>
          <w:spacing w:val="-2"/>
          <w:w w:val="99"/>
        </w:rPr>
        <w:t>2</w:t>
      </w:r>
      <w:r>
        <w:rPr>
          <w:rFonts w:ascii="Times New Roman" w:eastAsia="Times New Roman"/>
          <w:w w:val="99"/>
        </w:rPr>
        <w:t>.2</w:t>
      </w:r>
      <w:r>
        <w:rPr>
          <w:rFonts w:ascii="Times New Roman" w:eastAsia="Times New Roman"/>
          <w:spacing w:val="1"/>
        </w:rPr>
        <w:t> </w:t>
      </w:r>
      <w:r>
        <w:rPr>
          <w:w w:val="99"/>
        </w:rPr>
        <w:t>和</w:t>
      </w:r>
      <w:r>
        <w:rPr>
          <w:spacing w:val="-53"/>
        </w:rPr>
        <w:t> </w:t>
      </w:r>
      <w:r>
        <w:rPr>
          <w:rFonts w:ascii="Times New Roman" w:eastAsia="Times New Roman"/>
          <w:spacing w:val="1"/>
          <w:w w:val="99"/>
        </w:rPr>
        <w:t>6</w:t>
      </w:r>
      <w:r>
        <w:rPr>
          <w:rFonts w:ascii="Times New Roman" w:eastAsia="Times New Roman"/>
          <w:w w:val="99"/>
        </w:rPr>
        <w:t>.</w:t>
      </w:r>
      <w:r>
        <w:rPr>
          <w:rFonts w:ascii="Times New Roman" w:eastAsia="Times New Roman"/>
          <w:spacing w:val="1"/>
          <w:w w:val="99"/>
        </w:rPr>
        <w:t>1</w:t>
      </w:r>
      <w:r>
        <w:rPr>
          <w:rFonts w:ascii="Times New Roman" w:eastAsia="Times New Roman"/>
          <w:w w:val="99"/>
        </w:rPr>
        <w:t>.</w:t>
      </w:r>
      <w:r>
        <w:rPr>
          <w:rFonts w:ascii="Times New Roman" w:eastAsia="Times New Roman"/>
          <w:spacing w:val="-2"/>
          <w:w w:val="99"/>
        </w:rPr>
        <w:t>2</w:t>
      </w:r>
      <w:r>
        <w:rPr>
          <w:rFonts w:ascii="Times New Roman" w:eastAsia="Times New Roman"/>
          <w:w w:val="99"/>
        </w:rPr>
        <w:t>.</w:t>
      </w:r>
      <w:r>
        <w:rPr>
          <w:rFonts w:ascii="Times New Roman" w:eastAsia="Times New Roman"/>
          <w:spacing w:val="1"/>
          <w:w w:val="99"/>
        </w:rPr>
        <w:t>3</w:t>
      </w:r>
      <w:r>
        <w:rPr>
          <w:spacing w:val="-106"/>
          <w:w w:val="99"/>
        </w:rPr>
        <w:t>）</w:t>
      </w:r>
      <w:r>
        <w:rPr>
          <w:w w:val="99"/>
        </w:rPr>
        <w:t>；</w:t>
      </w:r>
    </w:p>
    <w:p>
      <w:pPr>
        <w:pStyle w:val="BodyText"/>
        <w:spacing w:line="278" w:lineRule="auto"/>
        <w:ind w:left="703" w:right="3475" w:firstLine="424"/>
      </w:pPr>
      <w:r>
        <w:rPr>
          <w:rFonts w:ascii="Times New Roman" w:eastAsia="Times New Roman"/>
        </w:rPr>
        <w:t>3</w:t>
      </w:r>
      <w:r>
        <w:rPr/>
        <w:t>） 与工作人员及其代表（若有）协商（见 </w:t>
      </w:r>
      <w:r>
        <w:rPr>
          <w:rFonts w:ascii="Times New Roman" w:eastAsia="Times New Roman"/>
        </w:rPr>
        <w:t>5.4</w:t>
      </w:r>
      <w:r>
        <w:rPr/>
        <w:t>）的结果； </w:t>
      </w:r>
      <w:r>
        <w:rPr>
          <w:rFonts w:ascii="Times New Roman" w:eastAsia="Times New Roman"/>
        </w:rPr>
        <w:t>d</w:t>
      </w:r>
      <w:r>
        <w:rPr/>
        <w:t>） 得到监视；</w:t>
      </w:r>
    </w:p>
    <w:p>
      <w:pPr>
        <w:pStyle w:val="ListParagraph"/>
        <w:numPr>
          <w:ilvl w:val="0"/>
          <w:numId w:val="25"/>
        </w:numPr>
        <w:tabs>
          <w:tab w:pos="1112" w:val="left" w:leader="none"/>
        </w:tabs>
        <w:spacing w:line="269" w:lineRule="exact" w:before="0" w:after="0"/>
        <w:ind w:left="1111" w:right="0" w:hanging="409"/>
        <w:jc w:val="left"/>
        <w:rPr>
          <w:sz w:val="21"/>
        </w:rPr>
      </w:pPr>
      <w:r>
        <w:rPr>
          <w:sz w:val="21"/>
        </w:rPr>
        <w:t>予以沟通；</w:t>
      </w:r>
    </w:p>
    <w:p>
      <w:pPr>
        <w:pStyle w:val="ListParagraph"/>
        <w:numPr>
          <w:ilvl w:val="0"/>
          <w:numId w:val="25"/>
        </w:numPr>
        <w:tabs>
          <w:tab w:pos="1088" w:val="left" w:leader="none"/>
        </w:tabs>
        <w:spacing w:line="240" w:lineRule="auto" w:before="43" w:after="0"/>
        <w:ind w:left="1087" w:right="0" w:hanging="385"/>
        <w:jc w:val="left"/>
        <w:rPr>
          <w:sz w:val="21"/>
        </w:rPr>
      </w:pPr>
      <w:r>
        <w:rPr>
          <w:sz w:val="21"/>
        </w:rPr>
        <w:t>在适当时予以更新。</w:t>
      </w:r>
    </w:p>
    <w:p>
      <w:pPr>
        <w:pStyle w:val="ListParagraph"/>
        <w:numPr>
          <w:ilvl w:val="2"/>
          <w:numId w:val="24"/>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6.2.2　实现职业健康安全目标的策划" w:id="99"/>
      <w:bookmarkEnd w:id="99"/>
      <w:r>
        <w:rPr/>
      </w:r>
      <w:bookmarkStart w:name="_bookmark24" w:id="100"/>
      <w:bookmarkEnd w:id="100"/>
      <w:r>
        <w:rPr>
          <w:rFonts w:ascii="黑体" w:eastAsia="黑体" w:hint="eastAsia"/>
          <w:sz w:val="21"/>
        </w:rPr>
        <w:t>实现职业健康安全目标的策划</w:t>
      </w:r>
    </w:p>
    <w:p>
      <w:pPr>
        <w:pStyle w:val="BodyText"/>
        <w:spacing w:before="42"/>
        <w:ind w:left="698"/>
      </w:pPr>
      <w:r>
        <w:rPr/>
        <w:t>在策划如何实现职业健康安全目标时，组织应确定：</w:t>
      </w:r>
    </w:p>
    <w:p>
      <w:pPr>
        <w:pStyle w:val="ListParagraph"/>
        <w:numPr>
          <w:ilvl w:val="0"/>
          <w:numId w:val="26"/>
        </w:numPr>
        <w:tabs>
          <w:tab w:pos="1007" w:val="left" w:leader="none"/>
        </w:tabs>
        <w:spacing w:line="240" w:lineRule="auto" w:before="43" w:after="0"/>
        <w:ind w:left="1006" w:right="0" w:hanging="304"/>
        <w:jc w:val="left"/>
        <w:rPr>
          <w:sz w:val="21"/>
        </w:rPr>
      </w:pPr>
      <w:r>
        <w:rPr>
          <w:sz w:val="21"/>
        </w:rPr>
        <w:t>要做什么；</w:t>
      </w:r>
    </w:p>
    <w:p>
      <w:pPr>
        <w:pStyle w:val="ListParagraph"/>
        <w:numPr>
          <w:ilvl w:val="0"/>
          <w:numId w:val="26"/>
        </w:numPr>
        <w:tabs>
          <w:tab w:pos="1019" w:val="left" w:leader="none"/>
        </w:tabs>
        <w:spacing w:line="278" w:lineRule="auto" w:before="43" w:after="0"/>
        <w:ind w:left="703" w:right="7538" w:firstLine="0"/>
        <w:jc w:val="left"/>
        <w:rPr>
          <w:sz w:val="21"/>
        </w:rPr>
      </w:pPr>
      <w:r>
        <w:rPr>
          <w:spacing w:val="-2"/>
          <w:sz w:val="21"/>
        </w:rPr>
        <w:t>需要什么资源； </w:t>
      </w:r>
      <w:r>
        <w:rPr>
          <w:rFonts w:ascii="Times New Roman" w:eastAsia="Times New Roman"/>
          <w:sz w:val="21"/>
        </w:rPr>
        <w:t>c</w:t>
      </w:r>
      <w:r>
        <w:rPr>
          <w:sz w:val="21"/>
        </w:rPr>
        <w:t>）由谁负责；</w:t>
      </w:r>
    </w:p>
    <w:p>
      <w:pPr>
        <w:pStyle w:val="ListParagraph"/>
        <w:numPr>
          <w:ilvl w:val="0"/>
          <w:numId w:val="27"/>
        </w:numPr>
        <w:tabs>
          <w:tab w:pos="1019" w:val="left" w:leader="none"/>
        </w:tabs>
        <w:spacing w:line="269" w:lineRule="exact" w:before="0" w:after="0"/>
        <w:ind w:left="1018" w:right="0" w:hanging="316"/>
        <w:jc w:val="left"/>
        <w:rPr>
          <w:sz w:val="21"/>
        </w:rPr>
      </w:pPr>
      <w:r>
        <w:rPr>
          <w:sz w:val="21"/>
        </w:rPr>
        <w:t>何时完成；</w:t>
      </w:r>
    </w:p>
    <w:p>
      <w:pPr>
        <w:pStyle w:val="ListParagraph"/>
        <w:numPr>
          <w:ilvl w:val="0"/>
          <w:numId w:val="27"/>
        </w:numPr>
        <w:tabs>
          <w:tab w:pos="1007" w:val="left" w:leader="none"/>
        </w:tabs>
        <w:spacing w:line="240" w:lineRule="auto" w:before="43" w:after="0"/>
        <w:ind w:left="1006" w:right="0" w:hanging="304"/>
        <w:jc w:val="left"/>
        <w:rPr>
          <w:sz w:val="21"/>
        </w:rPr>
      </w:pPr>
      <w:r>
        <w:rPr>
          <w:sz w:val="21"/>
        </w:rPr>
        <w:t>如何评价结果，包括用于监视的参数；</w:t>
      </w:r>
    </w:p>
    <w:p>
      <w:pPr>
        <w:pStyle w:val="ListParagraph"/>
        <w:numPr>
          <w:ilvl w:val="0"/>
          <w:numId w:val="27"/>
        </w:numPr>
        <w:tabs>
          <w:tab w:pos="983" w:val="left" w:leader="none"/>
        </w:tabs>
        <w:spacing w:line="240" w:lineRule="auto" w:before="43" w:after="0"/>
        <w:ind w:left="982" w:right="0" w:hanging="280"/>
        <w:jc w:val="left"/>
        <w:rPr>
          <w:sz w:val="21"/>
        </w:rPr>
      </w:pPr>
      <w:r>
        <w:rPr>
          <w:sz w:val="21"/>
        </w:rPr>
        <w:t>如何将实现职业健康安全目标的措施融入其业务过程。</w:t>
      </w:r>
    </w:p>
    <w:p>
      <w:pPr>
        <w:pStyle w:val="BodyText"/>
        <w:ind w:left="698"/>
      </w:pPr>
      <w:r>
        <w:rPr/>
        <w:t>组织应保持和保留职业健康安全目标和实现职业健康安全目标的策划的文件化信息。</w:t>
      </w:r>
    </w:p>
    <w:p>
      <w:pPr>
        <w:pStyle w:val="ListParagraph"/>
        <w:numPr>
          <w:ilvl w:val="0"/>
          <w:numId w:val="11"/>
        </w:numPr>
        <w:tabs>
          <w:tab w:pos="592" w:val="left" w:leader="none"/>
          <w:tab w:pos="593" w:val="left" w:leader="none"/>
        </w:tabs>
        <w:spacing w:line="240" w:lineRule="auto" w:before="43" w:after="0"/>
        <w:ind w:left="592" w:right="0" w:hanging="315"/>
        <w:jc w:val="left"/>
        <w:rPr>
          <w:rFonts w:ascii="黑体" w:eastAsia="黑体" w:hint="eastAsia"/>
          <w:sz w:val="21"/>
        </w:rPr>
      </w:pPr>
      <w:bookmarkStart w:name="7　支持" w:id="101"/>
      <w:bookmarkEnd w:id="101"/>
      <w:r>
        <w:rPr/>
      </w:r>
      <w:bookmarkStart w:name="_bookmark25" w:id="102"/>
      <w:bookmarkEnd w:id="102"/>
      <w:r>
        <w:rPr>
          <w:rFonts w:ascii="黑体" w:eastAsia="黑体" w:hint="eastAsia"/>
          <w:sz w:val="21"/>
        </w:rPr>
        <w:t>支持</w:t>
      </w:r>
    </w:p>
    <w:p>
      <w:pPr>
        <w:pStyle w:val="ListParagraph"/>
        <w:numPr>
          <w:ilvl w:val="1"/>
          <w:numId w:val="11"/>
        </w:numPr>
        <w:tabs>
          <w:tab w:pos="803" w:val="left" w:leader="none"/>
          <w:tab w:pos="804" w:val="left" w:leader="none"/>
        </w:tabs>
        <w:spacing w:line="240" w:lineRule="auto" w:before="43" w:after="0"/>
        <w:ind w:left="804" w:right="0" w:hanging="526"/>
        <w:jc w:val="left"/>
        <w:rPr>
          <w:rFonts w:ascii="黑体" w:eastAsia="黑体" w:hint="eastAsia"/>
          <w:sz w:val="21"/>
        </w:rPr>
      </w:pPr>
      <w:bookmarkStart w:name="7.1　资源" w:id="103"/>
      <w:bookmarkEnd w:id="103"/>
      <w:r>
        <w:rPr/>
      </w:r>
      <w:bookmarkStart w:name="_bookmark26" w:id="104"/>
      <w:bookmarkEnd w:id="104"/>
      <w:r>
        <w:rPr>
          <w:rFonts w:ascii="黑体" w:eastAsia="黑体" w:hint="eastAsia"/>
          <w:sz w:val="21"/>
        </w:rPr>
        <w:t>资源</w:t>
      </w:r>
    </w:p>
    <w:p>
      <w:pPr>
        <w:pStyle w:val="BodyText"/>
        <w:ind w:left="698"/>
      </w:pPr>
      <w:r>
        <w:rPr/>
        <w:t>组织应确定并提供建立、实施、保持和持续改进职业健康安全管理体系所需的资源。</w:t>
      </w:r>
    </w:p>
    <w:p>
      <w:pPr>
        <w:pStyle w:val="ListParagraph"/>
        <w:numPr>
          <w:ilvl w:val="1"/>
          <w:numId w:val="11"/>
        </w:numPr>
        <w:tabs>
          <w:tab w:pos="803" w:val="left" w:leader="none"/>
          <w:tab w:pos="804" w:val="left" w:leader="none"/>
        </w:tabs>
        <w:spacing w:line="240" w:lineRule="auto" w:before="43" w:after="0"/>
        <w:ind w:left="804" w:right="0" w:hanging="526"/>
        <w:jc w:val="left"/>
        <w:rPr>
          <w:rFonts w:ascii="黑体" w:eastAsia="黑体" w:hint="eastAsia"/>
          <w:sz w:val="21"/>
        </w:rPr>
      </w:pPr>
      <w:bookmarkStart w:name="7.2　能力" w:id="105"/>
      <w:bookmarkEnd w:id="105"/>
      <w:r>
        <w:rPr/>
      </w:r>
      <w:bookmarkStart w:name="_bookmark27" w:id="106"/>
      <w:bookmarkEnd w:id="106"/>
      <w:r>
        <w:rPr>
          <w:rFonts w:ascii="黑体" w:eastAsia="黑体" w:hint="eastAsia"/>
          <w:sz w:val="21"/>
        </w:rPr>
        <w:t>能力</w:t>
      </w:r>
    </w:p>
    <w:p>
      <w:pPr>
        <w:pStyle w:val="BodyText"/>
        <w:ind w:left="698"/>
      </w:pPr>
      <w:r>
        <w:rPr/>
        <w:t>组织应：</w:t>
      </w:r>
    </w:p>
    <w:p>
      <w:pPr>
        <w:pStyle w:val="ListParagraph"/>
        <w:numPr>
          <w:ilvl w:val="0"/>
          <w:numId w:val="28"/>
        </w:numPr>
        <w:tabs>
          <w:tab w:pos="1107" w:val="left" w:leader="none"/>
        </w:tabs>
        <w:spacing w:line="240" w:lineRule="auto" w:before="43" w:after="0"/>
        <w:ind w:left="1106" w:right="0" w:hanging="409"/>
        <w:jc w:val="left"/>
        <w:rPr>
          <w:sz w:val="21"/>
        </w:rPr>
      </w:pPr>
      <w:r>
        <w:rPr>
          <w:sz w:val="21"/>
        </w:rPr>
        <w:t>确定影响或可能影响其职业健康安全绩效的工作人员所必需具备的能力；</w:t>
      </w:r>
    </w:p>
    <w:p>
      <w:pPr>
        <w:pStyle w:val="ListParagraph"/>
        <w:numPr>
          <w:ilvl w:val="0"/>
          <w:numId w:val="28"/>
        </w:numPr>
        <w:tabs>
          <w:tab w:pos="1119" w:val="left" w:leader="none"/>
        </w:tabs>
        <w:spacing w:line="278" w:lineRule="auto" w:before="43" w:after="0"/>
        <w:ind w:left="1128" w:right="506" w:hanging="430"/>
        <w:jc w:val="left"/>
        <w:rPr>
          <w:sz w:val="21"/>
        </w:rPr>
      </w:pPr>
      <w:r>
        <w:rPr>
          <w:w w:val="95"/>
          <w:sz w:val="21"/>
        </w:rPr>
        <w:t>基于适当的教育、培训或经历，确保工作人员具备胜任工作的能力（包括具备辨识危险源的</w:t>
      </w:r>
      <w:r>
        <w:rPr>
          <w:w w:val="99"/>
          <w:sz w:val="21"/>
        </w:rPr>
        <w:t>能力</w:t>
      </w:r>
      <w:r>
        <w:rPr>
          <w:spacing w:val="-104"/>
          <w:w w:val="99"/>
          <w:sz w:val="21"/>
        </w:rPr>
        <w:t>）</w:t>
      </w:r>
      <w:r>
        <w:rPr>
          <w:w w:val="99"/>
          <w:sz w:val="21"/>
        </w:rPr>
        <w:t>；</w:t>
      </w:r>
    </w:p>
    <w:p>
      <w:pPr>
        <w:pStyle w:val="ListParagraph"/>
        <w:numPr>
          <w:ilvl w:val="0"/>
          <w:numId w:val="28"/>
        </w:numPr>
        <w:tabs>
          <w:tab w:pos="1107" w:val="left" w:leader="none"/>
        </w:tabs>
        <w:spacing w:line="269" w:lineRule="exact" w:before="0" w:after="0"/>
        <w:ind w:left="1106" w:right="0" w:hanging="409"/>
        <w:jc w:val="left"/>
        <w:rPr>
          <w:sz w:val="21"/>
        </w:rPr>
      </w:pPr>
      <w:r>
        <w:rPr>
          <w:sz w:val="21"/>
        </w:rPr>
        <w:t>在适用时，采取措施以获得和保持所必需的能力，并评价所采取措施的有效性；</w:t>
      </w:r>
    </w:p>
    <w:p>
      <w:pPr>
        <w:pStyle w:val="ListParagraph"/>
        <w:numPr>
          <w:ilvl w:val="0"/>
          <w:numId w:val="28"/>
        </w:numPr>
        <w:tabs>
          <w:tab w:pos="1119" w:val="left" w:leader="none"/>
        </w:tabs>
        <w:spacing w:line="240" w:lineRule="auto" w:before="43" w:after="0"/>
        <w:ind w:left="1118" w:right="0" w:hanging="421"/>
        <w:jc w:val="left"/>
        <w:rPr>
          <w:sz w:val="21"/>
        </w:rPr>
      </w:pPr>
      <w:r>
        <w:rPr>
          <w:sz w:val="21"/>
        </w:rPr>
        <w:t>保留适当的文件化信息作为能力证据。</w:t>
      </w:r>
    </w:p>
    <w:p>
      <w:pPr>
        <w:spacing w:line="324" w:lineRule="auto" w:before="63"/>
        <w:ind w:left="1128" w:right="506" w:hanging="428"/>
        <w:jc w:val="left"/>
        <w:rPr>
          <w:sz w:val="18"/>
        </w:rPr>
      </w:pPr>
      <w:r>
        <w:rPr>
          <w:sz w:val="18"/>
        </w:rPr>
        <w:t>注： 适用措施可包括：向现有所雇人员提供培训、指导或重新分配工作；外聘或将工作承包给能胜任工作的人员等。</w:t>
      </w:r>
    </w:p>
    <w:p>
      <w:pPr>
        <w:pStyle w:val="ListParagraph"/>
        <w:numPr>
          <w:ilvl w:val="1"/>
          <w:numId w:val="11"/>
        </w:numPr>
        <w:tabs>
          <w:tab w:pos="803" w:val="left" w:leader="none"/>
          <w:tab w:pos="804" w:val="left" w:leader="none"/>
        </w:tabs>
        <w:spacing w:line="250" w:lineRule="exact" w:before="0" w:after="0"/>
        <w:ind w:left="804" w:right="0" w:hanging="526"/>
        <w:jc w:val="left"/>
        <w:rPr>
          <w:rFonts w:ascii="黑体" w:eastAsia="黑体" w:hint="eastAsia"/>
          <w:sz w:val="21"/>
        </w:rPr>
      </w:pPr>
      <w:bookmarkStart w:name="7.3　意识" w:id="107"/>
      <w:bookmarkEnd w:id="107"/>
      <w:r>
        <w:rPr/>
      </w:r>
      <w:bookmarkStart w:name="_bookmark28" w:id="108"/>
      <w:bookmarkEnd w:id="108"/>
      <w:r>
        <w:rPr>
          <w:rFonts w:ascii="黑体" w:eastAsia="黑体" w:hint="eastAsia"/>
          <w:sz w:val="21"/>
        </w:rPr>
        <w:t>意识</w:t>
      </w:r>
    </w:p>
    <w:p>
      <w:pPr>
        <w:pStyle w:val="BodyText"/>
        <w:ind w:left="698"/>
      </w:pPr>
      <w:r>
        <w:rPr/>
        <w:t>工作人员应意识到：</w:t>
      </w:r>
    </w:p>
    <w:p>
      <w:pPr>
        <w:pStyle w:val="ListParagraph"/>
        <w:numPr>
          <w:ilvl w:val="0"/>
          <w:numId w:val="29"/>
        </w:numPr>
        <w:tabs>
          <w:tab w:pos="1107" w:val="left" w:leader="none"/>
        </w:tabs>
        <w:spacing w:line="240" w:lineRule="auto" w:before="43" w:after="0"/>
        <w:ind w:left="1106" w:right="0" w:hanging="409"/>
        <w:jc w:val="left"/>
        <w:rPr>
          <w:sz w:val="21"/>
        </w:rPr>
      </w:pPr>
      <w:r>
        <w:rPr>
          <w:sz w:val="21"/>
        </w:rPr>
        <w:t>职业健康安全方针和职业健康安全目标；</w:t>
      </w:r>
    </w:p>
    <w:p>
      <w:pPr>
        <w:pStyle w:val="ListParagraph"/>
        <w:numPr>
          <w:ilvl w:val="0"/>
          <w:numId w:val="29"/>
        </w:numPr>
        <w:tabs>
          <w:tab w:pos="1119" w:val="left" w:leader="none"/>
        </w:tabs>
        <w:spacing w:line="240" w:lineRule="auto" w:before="43" w:after="0"/>
        <w:ind w:left="1118" w:right="0" w:hanging="421"/>
        <w:jc w:val="left"/>
        <w:rPr>
          <w:sz w:val="21"/>
        </w:rPr>
      </w:pPr>
      <w:r>
        <w:rPr>
          <w:sz w:val="21"/>
        </w:rPr>
        <w:t>其对职业健康安全管理体系有效性的贡献作用，包括提升职业健康安全绩效的益处；</w:t>
      </w:r>
    </w:p>
    <w:p>
      <w:pPr>
        <w:pStyle w:val="ListParagraph"/>
        <w:numPr>
          <w:ilvl w:val="0"/>
          <w:numId w:val="29"/>
        </w:numPr>
        <w:tabs>
          <w:tab w:pos="1107" w:val="left" w:leader="none"/>
        </w:tabs>
        <w:spacing w:line="240" w:lineRule="auto" w:before="43" w:after="0"/>
        <w:ind w:left="1106" w:right="0" w:hanging="409"/>
        <w:jc w:val="left"/>
        <w:rPr>
          <w:sz w:val="21"/>
        </w:rPr>
      </w:pPr>
      <w:r>
        <w:rPr>
          <w:sz w:val="21"/>
        </w:rPr>
        <w:t>不符合职业健康安全管理体系要求的影响和潜在后果；</w:t>
      </w:r>
    </w:p>
    <w:p>
      <w:pPr>
        <w:spacing w:after="0" w:line="240" w:lineRule="auto"/>
        <w:jc w:val="left"/>
        <w:rPr>
          <w:sz w:val="21"/>
        </w:rPr>
        <w:sectPr>
          <w:pgSz w:w="11910" w:h="16840"/>
          <w:pgMar w:header="1442" w:footer="850" w:top="1660" w:bottom="1040" w:left="1140" w:right="740"/>
        </w:sectPr>
      </w:pPr>
    </w:p>
    <w:p>
      <w:pPr>
        <w:pStyle w:val="ListParagraph"/>
        <w:numPr>
          <w:ilvl w:val="0"/>
          <w:numId w:val="29"/>
        </w:numPr>
        <w:tabs>
          <w:tab w:pos="1119" w:val="left" w:leader="none"/>
        </w:tabs>
        <w:spacing w:line="240" w:lineRule="auto" w:before="157" w:after="0"/>
        <w:ind w:left="1118" w:right="0" w:hanging="421"/>
        <w:jc w:val="left"/>
        <w:rPr>
          <w:sz w:val="21"/>
        </w:rPr>
      </w:pPr>
      <w:r>
        <w:rPr>
          <w:sz w:val="21"/>
        </w:rPr>
        <w:t>与其相关的事件和调查结果；</w:t>
      </w:r>
    </w:p>
    <w:p>
      <w:pPr>
        <w:pStyle w:val="ListParagraph"/>
        <w:numPr>
          <w:ilvl w:val="0"/>
          <w:numId w:val="29"/>
        </w:numPr>
        <w:tabs>
          <w:tab w:pos="1107" w:val="left" w:leader="none"/>
        </w:tabs>
        <w:spacing w:line="240" w:lineRule="auto" w:before="43" w:after="0"/>
        <w:ind w:left="1106" w:right="0" w:hanging="409"/>
        <w:jc w:val="left"/>
        <w:rPr>
          <w:sz w:val="21"/>
        </w:rPr>
      </w:pPr>
      <w:r>
        <w:rPr>
          <w:sz w:val="21"/>
        </w:rPr>
        <w:t>与其相关的危险源、职业健康安全风险和所确定的措施；</w:t>
      </w:r>
    </w:p>
    <w:p>
      <w:pPr>
        <w:pStyle w:val="ListParagraph"/>
        <w:numPr>
          <w:ilvl w:val="0"/>
          <w:numId w:val="29"/>
        </w:numPr>
        <w:tabs>
          <w:tab w:pos="1085" w:val="left" w:leader="none"/>
        </w:tabs>
        <w:spacing w:line="278" w:lineRule="auto" w:before="43" w:after="0"/>
        <w:ind w:left="1128" w:right="506" w:hanging="430"/>
        <w:jc w:val="left"/>
        <w:rPr>
          <w:sz w:val="21"/>
        </w:rPr>
      </w:pPr>
      <w:r>
        <w:rPr>
          <w:sz w:val="21"/>
        </w:rPr>
        <w:t>从其所认为的存在急迫且严重危及其生命或健康的工作状况中逃离的能力，以及为保护其免遭由此而产生的不当后果所做出的安排。</w:t>
      </w:r>
    </w:p>
    <w:p>
      <w:pPr>
        <w:pStyle w:val="ListParagraph"/>
        <w:numPr>
          <w:ilvl w:val="1"/>
          <w:numId w:val="11"/>
        </w:numPr>
        <w:tabs>
          <w:tab w:pos="803" w:val="left" w:leader="none"/>
          <w:tab w:pos="804" w:val="left" w:leader="none"/>
        </w:tabs>
        <w:spacing w:line="269" w:lineRule="exact" w:before="0" w:after="0"/>
        <w:ind w:left="804" w:right="0" w:hanging="526"/>
        <w:jc w:val="left"/>
        <w:rPr>
          <w:rFonts w:ascii="黑体" w:eastAsia="黑体" w:hint="eastAsia"/>
          <w:sz w:val="21"/>
        </w:rPr>
      </w:pPr>
      <w:bookmarkStart w:name="7.4　沟通" w:id="109"/>
      <w:bookmarkEnd w:id="109"/>
      <w:r>
        <w:rPr/>
      </w:r>
      <w:bookmarkStart w:name="_bookmark29" w:id="110"/>
      <w:bookmarkEnd w:id="110"/>
      <w:r>
        <w:rPr>
          <w:rFonts w:ascii="黑体" w:eastAsia="黑体" w:hint="eastAsia"/>
          <w:sz w:val="21"/>
        </w:rPr>
        <w:t>沟通</w:t>
      </w:r>
    </w:p>
    <w:p>
      <w:pPr>
        <w:pStyle w:val="ListParagraph"/>
        <w:numPr>
          <w:ilvl w:val="2"/>
          <w:numId w:val="30"/>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7.4.1　总则" w:id="111"/>
      <w:bookmarkEnd w:id="111"/>
      <w:r>
        <w:rPr/>
      </w:r>
      <w:bookmarkStart w:name="_bookmark30" w:id="112"/>
      <w:bookmarkEnd w:id="112"/>
      <w:r>
        <w:rPr>
          <w:rFonts w:ascii="黑体" w:eastAsia="黑体" w:hint="eastAsia"/>
          <w:sz w:val="21"/>
        </w:rPr>
        <w:t>总则</w:t>
      </w:r>
    </w:p>
    <w:p>
      <w:pPr>
        <w:pStyle w:val="BodyText"/>
        <w:ind w:left="698"/>
      </w:pPr>
      <w:r>
        <w:rPr/>
        <w:t>组织应建立、实施并保持与职业健康安全管理体系有关的内外部沟通所需的过程，包括确定：</w:t>
      </w:r>
    </w:p>
    <w:p>
      <w:pPr>
        <w:pStyle w:val="ListParagraph"/>
        <w:numPr>
          <w:ilvl w:val="3"/>
          <w:numId w:val="30"/>
        </w:numPr>
        <w:tabs>
          <w:tab w:pos="1107" w:val="left" w:leader="none"/>
        </w:tabs>
        <w:spacing w:line="278" w:lineRule="auto" w:before="43" w:after="0"/>
        <w:ind w:left="698" w:right="7857" w:firstLine="0"/>
        <w:jc w:val="both"/>
        <w:rPr>
          <w:sz w:val="21"/>
        </w:rPr>
      </w:pPr>
      <w:r>
        <w:rPr>
          <w:sz w:val="21"/>
        </w:rPr>
        <w:t>沟通什么； </w:t>
      </w:r>
      <w:r>
        <w:rPr>
          <w:rFonts w:ascii="Times New Roman" w:eastAsia="Times New Roman"/>
          <w:sz w:val="21"/>
        </w:rPr>
        <w:t>b</w:t>
      </w:r>
      <w:r>
        <w:rPr>
          <w:sz w:val="21"/>
        </w:rPr>
        <w:t>）</w:t>
      </w:r>
      <w:r>
        <w:rPr>
          <w:spacing w:val="-5"/>
          <w:sz w:val="21"/>
        </w:rPr>
        <w:t> 何时沟通； </w:t>
      </w:r>
      <w:r>
        <w:rPr>
          <w:rFonts w:ascii="Times New Roman" w:eastAsia="Times New Roman"/>
          <w:sz w:val="21"/>
        </w:rPr>
        <w:t>c</w:t>
      </w:r>
      <w:r>
        <w:rPr>
          <w:sz w:val="21"/>
        </w:rPr>
        <w:t>）</w:t>
      </w:r>
      <w:r>
        <w:rPr>
          <w:spacing w:val="-2"/>
          <w:sz w:val="21"/>
        </w:rPr>
        <w:t> 与谁沟通：</w:t>
      </w:r>
    </w:p>
    <w:p>
      <w:pPr>
        <w:pStyle w:val="ListParagraph"/>
        <w:numPr>
          <w:ilvl w:val="4"/>
          <w:numId w:val="30"/>
        </w:numPr>
        <w:tabs>
          <w:tab w:pos="1548" w:val="left" w:leader="none"/>
        </w:tabs>
        <w:spacing w:line="269" w:lineRule="exact" w:before="0" w:after="0"/>
        <w:ind w:left="1548" w:right="0" w:hanging="420"/>
        <w:jc w:val="left"/>
        <w:rPr>
          <w:sz w:val="21"/>
        </w:rPr>
      </w:pPr>
      <w:r>
        <w:rPr>
          <w:sz w:val="21"/>
        </w:rPr>
        <w:t>与组织内不同层次和职能；</w:t>
      </w:r>
    </w:p>
    <w:p>
      <w:pPr>
        <w:pStyle w:val="ListParagraph"/>
        <w:numPr>
          <w:ilvl w:val="4"/>
          <w:numId w:val="30"/>
        </w:numPr>
        <w:tabs>
          <w:tab w:pos="1548" w:val="left" w:leader="none"/>
        </w:tabs>
        <w:spacing w:line="240" w:lineRule="auto" w:before="43" w:after="0"/>
        <w:ind w:left="1548" w:right="0" w:hanging="420"/>
        <w:jc w:val="left"/>
        <w:rPr>
          <w:sz w:val="21"/>
        </w:rPr>
      </w:pPr>
      <w:r>
        <w:rPr>
          <w:sz w:val="21"/>
        </w:rPr>
        <w:t>与进入工作场所的承包方和访问者；</w:t>
      </w:r>
    </w:p>
    <w:p>
      <w:pPr>
        <w:pStyle w:val="ListParagraph"/>
        <w:numPr>
          <w:ilvl w:val="4"/>
          <w:numId w:val="30"/>
        </w:numPr>
        <w:tabs>
          <w:tab w:pos="1548" w:val="left" w:leader="none"/>
        </w:tabs>
        <w:spacing w:line="240" w:lineRule="auto" w:before="43" w:after="0"/>
        <w:ind w:left="1548" w:right="0" w:hanging="420"/>
        <w:jc w:val="left"/>
        <w:rPr>
          <w:sz w:val="21"/>
        </w:rPr>
      </w:pPr>
      <w:r>
        <w:rPr>
          <w:sz w:val="21"/>
        </w:rPr>
        <w:t>与其他相关方；</w:t>
      </w:r>
    </w:p>
    <w:p>
      <w:pPr>
        <w:pStyle w:val="BodyText"/>
        <w:ind w:left="698"/>
      </w:pPr>
      <w:r>
        <w:rPr>
          <w:rFonts w:ascii="Times New Roman" w:eastAsia="Times New Roman"/>
        </w:rPr>
        <w:t>d</w:t>
      </w:r>
      <w:r>
        <w:rPr/>
        <w:t>） 如何沟通。</w:t>
      </w:r>
    </w:p>
    <w:p>
      <w:pPr>
        <w:pStyle w:val="BodyText"/>
        <w:spacing w:line="278" w:lineRule="auto"/>
        <w:ind w:left="698" w:right="1033"/>
      </w:pPr>
      <w:r>
        <w:rPr>
          <w:w w:val="95"/>
        </w:rPr>
        <w:t>在考虑沟通需求时，组织必须考虑到各种差异（如性别、语言、文化、读写能力、残障</w:t>
      </w:r>
      <w:r>
        <w:rPr>
          <w:spacing w:val="-104"/>
          <w:w w:val="95"/>
        </w:rPr>
        <w:t>）</w:t>
      </w:r>
      <w:r>
        <w:rPr>
          <w:w w:val="95"/>
        </w:rPr>
        <w:t>。   </w:t>
      </w:r>
      <w:r>
        <w:rPr/>
        <w:t>在建立沟通过程中，组织应确保外部相关方的观点被考虑。</w:t>
      </w:r>
    </w:p>
    <w:p>
      <w:pPr>
        <w:pStyle w:val="BodyText"/>
        <w:spacing w:line="269" w:lineRule="exact" w:before="0"/>
        <w:ind w:left="698"/>
      </w:pPr>
      <w:r>
        <w:rPr/>
        <w:t>在建立沟通过程时，组织：</w:t>
      </w:r>
    </w:p>
    <w:p>
      <w:pPr>
        <w:pStyle w:val="BodyText"/>
        <w:ind w:left="698"/>
      </w:pPr>
      <w:r>
        <w:rPr/>
        <w:t>——必须考虑其法律法规要求和其他要求；</w:t>
      </w:r>
    </w:p>
    <w:p>
      <w:pPr>
        <w:pStyle w:val="BodyText"/>
        <w:spacing w:line="278" w:lineRule="auto"/>
        <w:ind w:left="698" w:right="717"/>
      </w:pPr>
      <w:r>
        <w:rPr>
          <w:w w:val="95"/>
        </w:rPr>
        <w:t>——应确保所沟通的职业健康安全信息与职业健康安全管理体系内所形成的信息一致且可靠。   </w:t>
      </w:r>
      <w:r>
        <w:rPr/>
        <w:t>组织应对有关其职业健康安全管理体系的沟通做出响应。</w:t>
      </w:r>
    </w:p>
    <w:p>
      <w:pPr>
        <w:pStyle w:val="BodyText"/>
        <w:spacing w:line="269" w:lineRule="exact" w:before="0"/>
        <w:ind w:left="698"/>
      </w:pPr>
      <w:r>
        <w:rPr/>
        <w:t>适当时，组织应保留文件化信息作为其沟通的证据。</w:t>
      </w:r>
    </w:p>
    <w:p>
      <w:pPr>
        <w:pStyle w:val="ListParagraph"/>
        <w:numPr>
          <w:ilvl w:val="2"/>
          <w:numId w:val="30"/>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7.4.2　内部沟通" w:id="113"/>
      <w:bookmarkEnd w:id="113"/>
      <w:r>
        <w:rPr/>
      </w:r>
      <w:bookmarkStart w:name="_bookmark31" w:id="114"/>
      <w:bookmarkEnd w:id="114"/>
      <w:r>
        <w:rPr>
          <w:rFonts w:ascii="黑体" w:eastAsia="黑体" w:hint="eastAsia"/>
          <w:sz w:val="21"/>
        </w:rPr>
        <w:t>内部沟通</w:t>
      </w:r>
    </w:p>
    <w:p>
      <w:pPr>
        <w:pStyle w:val="BodyText"/>
        <w:spacing w:before="42"/>
        <w:ind w:left="698"/>
      </w:pPr>
      <w:r>
        <w:rPr/>
        <w:t>组织应：</w:t>
      </w:r>
    </w:p>
    <w:p>
      <w:pPr>
        <w:pStyle w:val="ListParagraph"/>
        <w:numPr>
          <w:ilvl w:val="0"/>
          <w:numId w:val="31"/>
        </w:numPr>
        <w:tabs>
          <w:tab w:pos="1002" w:val="left" w:leader="none"/>
        </w:tabs>
        <w:spacing w:line="278" w:lineRule="auto" w:before="43" w:after="0"/>
        <w:ind w:left="986" w:right="506" w:hanging="288"/>
        <w:jc w:val="left"/>
        <w:rPr>
          <w:sz w:val="21"/>
        </w:rPr>
      </w:pPr>
      <w:r>
        <w:rPr>
          <w:spacing w:val="-2"/>
          <w:sz w:val="21"/>
        </w:rPr>
        <w:t>就职业健康安全管理体系的相关信息在其不同层次和职能之间进行内部沟通，适当时还包括职业健康安全管理体系的变更；</w:t>
      </w:r>
    </w:p>
    <w:p>
      <w:pPr>
        <w:pStyle w:val="ListParagraph"/>
        <w:numPr>
          <w:ilvl w:val="0"/>
          <w:numId w:val="31"/>
        </w:numPr>
        <w:tabs>
          <w:tab w:pos="1014" w:val="left" w:leader="none"/>
        </w:tabs>
        <w:spacing w:line="269" w:lineRule="exact" w:before="0" w:after="0"/>
        <w:ind w:left="1014" w:right="0" w:hanging="316"/>
        <w:jc w:val="left"/>
        <w:rPr>
          <w:sz w:val="21"/>
        </w:rPr>
      </w:pPr>
      <w:r>
        <w:rPr>
          <w:sz w:val="21"/>
        </w:rPr>
        <w:t>确保其沟通过程能够使工作人员为持续改进做出贡献。</w:t>
      </w:r>
    </w:p>
    <w:p>
      <w:pPr>
        <w:pStyle w:val="ListParagraph"/>
        <w:numPr>
          <w:ilvl w:val="2"/>
          <w:numId w:val="30"/>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7.4.3　外部沟通 " w:id="115"/>
      <w:bookmarkEnd w:id="115"/>
      <w:r>
        <w:rPr/>
      </w:r>
      <w:bookmarkStart w:name="_bookmark32" w:id="116"/>
      <w:bookmarkEnd w:id="116"/>
      <w:r>
        <w:rPr>
          <w:rFonts w:ascii="黑体" w:eastAsia="黑体" w:hint="eastAsia"/>
          <w:sz w:val="21"/>
        </w:rPr>
        <w:t>外部沟通</w:t>
      </w:r>
    </w:p>
    <w:p>
      <w:pPr>
        <w:pStyle w:val="BodyText"/>
        <w:spacing w:line="278" w:lineRule="auto"/>
        <w:ind w:left="278" w:right="508" w:firstLine="420"/>
      </w:pPr>
      <w:r>
        <w:rPr>
          <w:w w:val="95"/>
        </w:rPr>
        <w:t>组织应按其所建立的沟通过程就职业健康安全管理体系的相关信息进行外部沟通，并必须考虑法   </w:t>
      </w:r>
      <w:r>
        <w:rPr/>
        <w:t>律法规要求和其他要求。</w:t>
      </w:r>
    </w:p>
    <w:p>
      <w:pPr>
        <w:pStyle w:val="ListParagraph"/>
        <w:numPr>
          <w:ilvl w:val="1"/>
          <w:numId w:val="11"/>
        </w:numPr>
        <w:tabs>
          <w:tab w:pos="803" w:val="left" w:leader="none"/>
          <w:tab w:pos="804" w:val="left" w:leader="none"/>
        </w:tabs>
        <w:spacing w:line="269" w:lineRule="exact" w:before="0" w:after="0"/>
        <w:ind w:left="804" w:right="0" w:hanging="526"/>
        <w:jc w:val="left"/>
        <w:rPr>
          <w:rFonts w:ascii="黑体" w:eastAsia="黑体" w:hint="eastAsia"/>
          <w:sz w:val="21"/>
        </w:rPr>
      </w:pPr>
      <w:bookmarkStart w:name="7.5　文件化信息" w:id="117"/>
      <w:bookmarkEnd w:id="117"/>
      <w:r>
        <w:rPr/>
      </w:r>
      <w:bookmarkStart w:name="_bookmark33" w:id="118"/>
      <w:bookmarkEnd w:id="118"/>
      <w:r>
        <w:rPr>
          <w:rFonts w:ascii="黑体" w:eastAsia="黑体" w:hint="eastAsia"/>
          <w:sz w:val="21"/>
        </w:rPr>
        <w:t>文件化信息</w:t>
      </w:r>
    </w:p>
    <w:p>
      <w:pPr>
        <w:pStyle w:val="ListParagraph"/>
        <w:numPr>
          <w:ilvl w:val="2"/>
          <w:numId w:val="32"/>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7.5.1　总则 " w:id="119"/>
      <w:bookmarkEnd w:id="119"/>
      <w:r>
        <w:rPr/>
      </w:r>
      <w:bookmarkStart w:name="_bookmark34" w:id="120"/>
      <w:bookmarkEnd w:id="120"/>
      <w:r>
        <w:rPr>
          <w:rFonts w:ascii="黑体" w:eastAsia="黑体" w:hint="eastAsia"/>
          <w:sz w:val="21"/>
        </w:rPr>
        <w:t>总则</w:t>
      </w:r>
    </w:p>
    <w:p>
      <w:pPr>
        <w:pStyle w:val="BodyText"/>
        <w:ind w:left="698"/>
      </w:pPr>
      <w:r>
        <w:rPr/>
        <w:t>组织的职业健康安全管理体系应包括：</w:t>
      </w:r>
    </w:p>
    <w:p>
      <w:pPr>
        <w:pStyle w:val="ListParagraph"/>
        <w:numPr>
          <w:ilvl w:val="3"/>
          <w:numId w:val="32"/>
        </w:numPr>
        <w:tabs>
          <w:tab w:pos="1002" w:val="left" w:leader="none"/>
        </w:tabs>
        <w:spacing w:line="240" w:lineRule="auto" w:before="43" w:after="0"/>
        <w:ind w:left="1002" w:right="0" w:hanging="304"/>
        <w:jc w:val="left"/>
        <w:rPr>
          <w:sz w:val="21"/>
        </w:rPr>
      </w:pPr>
      <w:r>
        <w:rPr>
          <w:sz w:val="21"/>
        </w:rPr>
        <w:t>本标准要求的文件化信息；</w:t>
      </w:r>
    </w:p>
    <w:p>
      <w:pPr>
        <w:pStyle w:val="ListParagraph"/>
        <w:numPr>
          <w:ilvl w:val="3"/>
          <w:numId w:val="32"/>
        </w:numPr>
        <w:tabs>
          <w:tab w:pos="1014" w:val="left" w:leader="none"/>
        </w:tabs>
        <w:spacing w:line="240" w:lineRule="auto" w:before="43" w:after="0"/>
        <w:ind w:left="1014" w:right="0" w:hanging="316"/>
        <w:jc w:val="left"/>
        <w:rPr>
          <w:sz w:val="21"/>
        </w:rPr>
      </w:pPr>
      <w:r>
        <w:rPr>
          <w:sz w:val="21"/>
        </w:rPr>
        <w:t>组织确定的实现职业健康安全管理体系有效性所必需的文件化信息；</w:t>
      </w:r>
    </w:p>
    <w:p>
      <w:pPr>
        <w:spacing w:before="63"/>
        <w:ind w:left="700" w:right="0" w:firstLine="0"/>
        <w:jc w:val="left"/>
        <w:rPr>
          <w:sz w:val="18"/>
        </w:rPr>
      </w:pPr>
      <w:r>
        <w:rPr>
          <w:sz w:val="18"/>
        </w:rPr>
        <w:t>注：对于不同组织而言，其职业健康安全管理体系的文件化信息的程度可能因以下方面存在差异而不同：</w:t>
      </w:r>
    </w:p>
    <w:p>
      <w:pPr>
        <w:spacing w:before="82"/>
        <w:ind w:left="1125" w:right="0" w:firstLine="0"/>
        <w:jc w:val="left"/>
        <w:rPr>
          <w:sz w:val="18"/>
        </w:rPr>
      </w:pPr>
      <w:r>
        <w:rPr>
          <w:sz w:val="18"/>
        </w:rPr>
        <w:t>——组织的规模及其活动、过程、产品和服务的类型；</w:t>
      </w:r>
    </w:p>
    <w:p>
      <w:pPr>
        <w:spacing w:before="81"/>
        <w:ind w:left="1125" w:right="0" w:firstLine="0"/>
        <w:jc w:val="left"/>
        <w:rPr>
          <w:sz w:val="18"/>
        </w:rPr>
      </w:pPr>
      <w:r>
        <w:rPr>
          <w:sz w:val="18"/>
        </w:rPr>
        <w:t>——证实满足法律法规要求和其他要求的需要；</w:t>
      </w:r>
    </w:p>
    <w:p>
      <w:pPr>
        <w:spacing w:before="82"/>
        <w:ind w:left="1125" w:right="0" w:firstLine="0"/>
        <w:jc w:val="left"/>
        <w:rPr>
          <w:sz w:val="18"/>
        </w:rPr>
      </w:pPr>
      <w:r>
        <w:rPr>
          <w:sz w:val="18"/>
        </w:rPr>
        <w:t>——过程的复杂性及其相互作用；</w:t>
      </w:r>
    </w:p>
    <w:p>
      <w:pPr>
        <w:spacing w:before="81"/>
        <w:ind w:left="1125" w:right="0" w:firstLine="0"/>
        <w:jc w:val="left"/>
        <w:rPr>
          <w:sz w:val="18"/>
        </w:rPr>
      </w:pPr>
      <w:r>
        <w:rPr>
          <w:sz w:val="18"/>
        </w:rPr>
        <w:t>——工作人员的能力。</w:t>
      </w:r>
    </w:p>
    <w:p>
      <w:pPr>
        <w:pStyle w:val="ListParagraph"/>
        <w:numPr>
          <w:ilvl w:val="2"/>
          <w:numId w:val="32"/>
        </w:numPr>
        <w:tabs>
          <w:tab w:pos="1010" w:val="left" w:leader="none"/>
          <w:tab w:pos="1011" w:val="left" w:leader="none"/>
        </w:tabs>
        <w:spacing w:line="240" w:lineRule="auto" w:before="61" w:after="0"/>
        <w:ind w:left="1010" w:right="0" w:hanging="736"/>
        <w:jc w:val="left"/>
        <w:rPr>
          <w:rFonts w:ascii="黑体" w:eastAsia="黑体" w:hint="eastAsia"/>
          <w:sz w:val="21"/>
        </w:rPr>
      </w:pPr>
      <w:bookmarkStart w:name="7.5.2　创建和更新" w:id="121"/>
      <w:bookmarkEnd w:id="121"/>
      <w:r>
        <w:rPr/>
      </w:r>
      <w:bookmarkStart w:name="_bookmark35" w:id="122"/>
      <w:bookmarkEnd w:id="122"/>
      <w:r>
        <w:rPr>
          <w:rFonts w:ascii="黑体" w:eastAsia="黑体" w:hint="eastAsia"/>
          <w:sz w:val="21"/>
        </w:rPr>
        <w:t>创建和更新</w:t>
      </w:r>
    </w:p>
    <w:p>
      <w:pPr>
        <w:pStyle w:val="BodyText"/>
        <w:ind w:left="698"/>
      </w:pPr>
      <w:r>
        <w:rPr/>
        <w:t>创建和更新文件化信息时，组织应确保适当的：</w:t>
      </w:r>
    </w:p>
    <w:p>
      <w:pPr>
        <w:pStyle w:val="ListParagraph"/>
        <w:numPr>
          <w:ilvl w:val="0"/>
          <w:numId w:val="33"/>
        </w:numPr>
        <w:tabs>
          <w:tab w:pos="1107" w:val="left" w:leader="none"/>
        </w:tabs>
        <w:spacing w:line="240" w:lineRule="auto" w:before="43" w:after="0"/>
        <w:ind w:left="1106" w:right="0" w:hanging="409"/>
        <w:jc w:val="left"/>
        <w:rPr>
          <w:sz w:val="21"/>
        </w:rPr>
      </w:pPr>
      <w:r>
        <w:rPr>
          <w:spacing w:val="-1"/>
          <w:w w:val="99"/>
          <w:sz w:val="21"/>
        </w:rPr>
        <w:t>标识和说明</w:t>
      </w:r>
      <w:r>
        <w:rPr>
          <w:spacing w:val="2"/>
          <w:w w:val="99"/>
          <w:sz w:val="21"/>
        </w:rPr>
        <w:t>（</w:t>
      </w:r>
      <w:r>
        <w:rPr>
          <w:spacing w:val="-1"/>
          <w:w w:val="99"/>
          <w:sz w:val="21"/>
        </w:rPr>
        <w:t>如标题、日期、作者或文件编号</w:t>
      </w:r>
      <w:r>
        <w:rPr>
          <w:spacing w:val="-104"/>
          <w:w w:val="99"/>
          <w:sz w:val="21"/>
        </w:rPr>
        <w:t>）</w:t>
      </w:r>
      <w:r>
        <w:rPr>
          <w:w w:val="99"/>
          <w:sz w:val="21"/>
        </w:rPr>
        <w:t>；</w:t>
      </w:r>
    </w:p>
    <w:p>
      <w:pPr>
        <w:pStyle w:val="ListParagraph"/>
        <w:numPr>
          <w:ilvl w:val="0"/>
          <w:numId w:val="33"/>
        </w:numPr>
        <w:tabs>
          <w:tab w:pos="1119" w:val="left" w:leader="none"/>
        </w:tabs>
        <w:spacing w:line="240" w:lineRule="auto" w:before="43" w:after="0"/>
        <w:ind w:left="1118" w:right="0" w:hanging="421"/>
        <w:jc w:val="left"/>
        <w:rPr>
          <w:sz w:val="21"/>
        </w:rPr>
      </w:pPr>
      <w:r>
        <w:rPr>
          <w:w w:val="99"/>
          <w:sz w:val="21"/>
        </w:rPr>
        <w:t>形式</w:t>
      </w:r>
      <w:r>
        <w:rPr>
          <w:spacing w:val="-1"/>
          <w:w w:val="99"/>
          <w:sz w:val="21"/>
        </w:rPr>
        <w:t>（如语言文字、软件版本、图表）</w:t>
      </w:r>
      <w:r>
        <w:rPr>
          <w:w w:val="99"/>
          <w:sz w:val="21"/>
        </w:rPr>
        <w:t>与载体</w:t>
      </w:r>
      <w:r>
        <w:rPr>
          <w:spacing w:val="-1"/>
          <w:w w:val="99"/>
          <w:sz w:val="21"/>
        </w:rPr>
        <w:t>（如纸质载体、电子载体</w:t>
      </w:r>
      <w:r>
        <w:rPr>
          <w:spacing w:val="-104"/>
          <w:w w:val="99"/>
          <w:sz w:val="21"/>
        </w:rPr>
        <w:t>）</w:t>
      </w:r>
      <w:r>
        <w:rPr>
          <w:w w:val="99"/>
          <w:sz w:val="21"/>
        </w:rPr>
        <w:t>；</w:t>
      </w:r>
    </w:p>
    <w:p>
      <w:pPr>
        <w:pStyle w:val="ListParagraph"/>
        <w:numPr>
          <w:ilvl w:val="0"/>
          <w:numId w:val="33"/>
        </w:numPr>
        <w:tabs>
          <w:tab w:pos="1107" w:val="left" w:leader="none"/>
        </w:tabs>
        <w:spacing w:line="240" w:lineRule="auto" w:before="43" w:after="0"/>
        <w:ind w:left="1106" w:right="0" w:hanging="409"/>
        <w:jc w:val="left"/>
        <w:rPr>
          <w:sz w:val="21"/>
        </w:rPr>
      </w:pPr>
      <w:r>
        <w:rPr>
          <w:sz w:val="21"/>
        </w:rPr>
        <w:t>评审和批准，以确保适宜性和充分性。</w:t>
      </w:r>
    </w:p>
    <w:p>
      <w:pPr>
        <w:spacing w:after="0" w:line="240" w:lineRule="auto"/>
        <w:jc w:val="left"/>
        <w:rPr>
          <w:sz w:val="21"/>
        </w:rPr>
        <w:sectPr>
          <w:pgSz w:w="11910" w:h="16840"/>
          <w:pgMar w:header="1442" w:footer="850" w:top="1660" w:bottom="1040" w:left="1140" w:right="740"/>
        </w:sectPr>
      </w:pPr>
    </w:p>
    <w:p>
      <w:pPr>
        <w:pStyle w:val="ListParagraph"/>
        <w:numPr>
          <w:ilvl w:val="2"/>
          <w:numId w:val="32"/>
        </w:numPr>
        <w:tabs>
          <w:tab w:pos="1010" w:val="left" w:leader="none"/>
          <w:tab w:pos="1011" w:val="left" w:leader="none"/>
        </w:tabs>
        <w:spacing w:line="240" w:lineRule="auto" w:before="157" w:after="0"/>
        <w:ind w:left="1010" w:right="0" w:hanging="736"/>
        <w:jc w:val="left"/>
        <w:rPr>
          <w:rFonts w:ascii="黑体" w:eastAsia="黑体" w:hint="eastAsia"/>
          <w:sz w:val="21"/>
        </w:rPr>
      </w:pPr>
      <w:bookmarkStart w:name="7.5.3　文件化信息的控制" w:id="123"/>
      <w:bookmarkEnd w:id="123"/>
      <w:r>
        <w:rPr/>
      </w:r>
      <w:bookmarkStart w:name="_bookmark36" w:id="124"/>
      <w:bookmarkEnd w:id="124"/>
      <w:r>
        <w:rPr>
          <w:rFonts w:ascii="黑体" w:eastAsia="黑体" w:hint="eastAsia"/>
          <w:sz w:val="21"/>
        </w:rPr>
        <w:t>文件化信息的控制</w:t>
      </w:r>
    </w:p>
    <w:p>
      <w:pPr>
        <w:pStyle w:val="BodyText"/>
        <w:ind w:left="698"/>
      </w:pPr>
      <w:r>
        <w:rPr/>
        <w:t>职业健康安全管理体系和本标准所要求的文件化信息应予以控制，以确保：</w:t>
      </w:r>
    </w:p>
    <w:p>
      <w:pPr>
        <w:pStyle w:val="ListParagraph"/>
        <w:numPr>
          <w:ilvl w:val="0"/>
          <w:numId w:val="34"/>
        </w:numPr>
        <w:tabs>
          <w:tab w:pos="1107" w:val="left" w:leader="none"/>
        </w:tabs>
        <w:spacing w:line="240" w:lineRule="auto" w:before="43" w:after="0"/>
        <w:ind w:left="1106" w:right="0" w:hanging="409"/>
        <w:jc w:val="left"/>
        <w:rPr>
          <w:sz w:val="21"/>
        </w:rPr>
      </w:pPr>
      <w:r>
        <w:rPr>
          <w:sz w:val="21"/>
        </w:rPr>
        <w:t>在需要的场所和时间均可获得并适用；</w:t>
      </w:r>
    </w:p>
    <w:p>
      <w:pPr>
        <w:pStyle w:val="ListParagraph"/>
        <w:numPr>
          <w:ilvl w:val="0"/>
          <w:numId w:val="34"/>
        </w:numPr>
        <w:tabs>
          <w:tab w:pos="1119" w:val="left" w:leader="none"/>
        </w:tabs>
        <w:spacing w:line="278" w:lineRule="auto" w:before="43" w:after="0"/>
        <w:ind w:left="698" w:right="3553" w:firstLine="0"/>
        <w:jc w:val="left"/>
        <w:rPr>
          <w:sz w:val="21"/>
        </w:rPr>
      </w:pPr>
      <w:r>
        <w:rPr>
          <w:w w:val="95"/>
          <w:sz w:val="21"/>
        </w:rPr>
        <w:t>得到充分的保护（如防止失密、不当使用或完整性受损</w:t>
      </w:r>
      <w:r>
        <w:rPr>
          <w:spacing w:val="-104"/>
          <w:w w:val="95"/>
          <w:sz w:val="21"/>
        </w:rPr>
        <w:t>）</w:t>
      </w:r>
      <w:r>
        <w:rPr>
          <w:w w:val="95"/>
          <w:sz w:val="21"/>
        </w:rPr>
        <w:t>。 </w:t>
      </w:r>
      <w:r>
        <w:rPr>
          <w:sz w:val="21"/>
        </w:rPr>
        <w:t>适用时，组织应针对下列活动来控制文件化信息：</w:t>
      </w:r>
    </w:p>
    <w:p>
      <w:pPr>
        <w:pStyle w:val="BodyText"/>
        <w:spacing w:line="269" w:lineRule="exact" w:before="0"/>
        <w:ind w:left="698"/>
      </w:pPr>
      <w:r>
        <w:rPr/>
        <w:t>——分发、访问、检索和使用；</w:t>
      </w:r>
    </w:p>
    <w:p>
      <w:pPr>
        <w:pStyle w:val="BodyText"/>
        <w:ind w:left="698"/>
      </w:pPr>
      <w:r>
        <w:rPr/>
        <w:t>——存储和保护，包括保持易读性；</w:t>
      </w:r>
    </w:p>
    <w:p>
      <w:pPr>
        <w:pStyle w:val="BodyText"/>
        <w:ind w:left="698"/>
      </w:pPr>
      <w:r>
        <w:rPr>
          <w:spacing w:val="-1"/>
          <w:w w:val="99"/>
        </w:rPr>
        <w:t>——变更控制（如版本控制</w:t>
      </w:r>
      <w:r>
        <w:rPr>
          <w:spacing w:val="-104"/>
          <w:w w:val="99"/>
        </w:rPr>
        <w:t>）</w:t>
      </w:r>
      <w:r>
        <w:rPr>
          <w:w w:val="99"/>
        </w:rPr>
        <w:t>；</w:t>
      </w:r>
    </w:p>
    <w:p>
      <w:pPr>
        <w:pStyle w:val="BodyText"/>
        <w:ind w:left="698"/>
      </w:pPr>
      <w:r>
        <w:rPr/>
        <w:t>——保留和处置。</w:t>
      </w:r>
    </w:p>
    <w:p>
      <w:pPr>
        <w:pStyle w:val="BodyText"/>
        <w:spacing w:line="278" w:lineRule="auto"/>
        <w:ind w:left="278" w:right="506" w:firstLine="420"/>
      </w:pPr>
      <w:r>
        <w:rPr>
          <w:w w:val="95"/>
        </w:rPr>
        <w:t>组织应识别其所确定的、策划和运行职业健康安全管理体系所必需的、来自外部的文件化信息，   </w:t>
      </w:r>
      <w:r>
        <w:rPr/>
        <w:t>适当时应对其予以控制。</w:t>
      </w:r>
    </w:p>
    <w:p>
      <w:pPr>
        <w:spacing w:line="324" w:lineRule="auto" w:before="20"/>
        <w:ind w:left="700" w:right="954" w:firstLine="0"/>
        <w:jc w:val="left"/>
        <w:rPr>
          <w:sz w:val="18"/>
        </w:rPr>
      </w:pPr>
      <w:r>
        <w:rPr>
          <w:sz w:val="18"/>
        </w:rPr>
        <w:t>注1：“访问”可能指仅允许查阅文件化信息的决定，或可能指允许并授权查阅和更改文件化信息的决定。注2：“访问”相关文件化信息包括工作人员及其代表（若有）的“访问”。</w:t>
      </w:r>
    </w:p>
    <w:p>
      <w:pPr>
        <w:pStyle w:val="ListParagraph"/>
        <w:numPr>
          <w:ilvl w:val="0"/>
          <w:numId w:val="11"/>
        </w:numPr>
        <w:tabs>
          <w:tab w:pos="592" w:val="left" w:leader="none"/>
          <w:tab w:pos="593" w:val="left" w:leader="none"/>
        </w:tabs>
        <w:spacing w:line="250" w:lineRule="exact" w:before="0" w:after="0"/>
        <w:ind w:left="592" w:right="0" w:hanging="315"/>
        <w:jc w:val="left"/>
        <w:rPr>
          <w:rFonts w:ascii="黑体" w:eastAsia="黑体" w:hint="eastAsia"/>
          <w:sz w:val="21"/>
        </w:rPr>
      </w:pPr>
      <w:bookmarkStart w:name="8　运行" w:id="125"/>
      <w:bookmarkEnd w:id="125"/>
      <w:r>
        <w:rPr/>
      </w:r>
      <w:bookmarkStart w:name="_bookmark37" w:id="126"/>
      <w:bookmarkEnd w:id="126"/>
      <w:r>
        <w:rPr>
          <w:rFonts w:ascii="黑体" w:eastAsia="黑体" w:hint="eastAsia"/>
          <w:sz w:val="21"/>
        </w:rPr>
        <w:t>运行</w:t>
      </w:r>
    </w:p>
    <w:p>
      <w:pPr>
        <w:pStyle w:val="ListParagraph"/>
        <w:numPr>
          <w:ilvl w:val="1"/>
          <w:numId w:val="11"/>
        </w:numPr>
        <w:tabs>
          <w:tab w:pos="803" w:val="left" w:leader="none"/>
          <w:tab w:pos="804" w:val="left" w:leader="none"/>
        </w:tabs>
        <w:spacing w:line="240" w:lineRule="auto" w:before="43" w:after="0"/>
        <w:ind w:left="804" w:right="0" w:hanging="526"/>
        <w:jc w:val="left"/>
        <w:rPr>
          <w:rFonts w:ascii="黑体" w:eastAsia="黑体" w:hint="eastAsia"/>
          <w:sz w:val="21"/>
        </w:rPr>
      </w:pPr>
      <w:bookmarkStart w:name="8.1　运行策划和控制" w:id="127"/>
      <w:bookmarkEnd w:id="127"/>
      <w:r>
        <w:rPr/>
      </w:r>
      <w:bookmarkStart w:name="_bookmark38" w:id="128"/>
      <w:bookmarkEnd w:id="128"/>
      <w:r>
        <w:rPr>
          <w:rFonts w:ascii="黑体" w:eastAsia="黑体" w:hint="eastAsia"/>
          <w:sz w:val="21"/>
        </w:rPr>
        <w:t>运行策划和控制</w:t>
      </w:r>
    </w:p>
    <w:p>
      <w:pPr>
        <w:pStyle w:val="ListParagraph"/>
        <w:numPr>
          <w:ilvl w:val="2"/>
          <w:numId w:val="35"/>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8.1.1　总则" w:id="129"/>
      <w:bookmarkEnd w:id="129"/>
      <w:r>
        <w:rPr/>
      </w:r>
      <w:bookmarkStart w:name="_bookmark39" w:id="130"/>
      <w:bookmarkEnd w:id="130"/>
      <w:r>
        <w:rPr>
          <w:rFonts w:ascii="黑体" w:eastAsia="黑体" w:hint="eastAsia"/>
          <w:sz w:val="21"/>
        </w:rPr>
        <w:t>总则</w:t>
      </w:r>
    </w:p>
    <w:p>
      <w:pPr>
        <w:pStyle w:val="BodyText"/>
        <w:spacing w:line="278" w:lineRule="auto"/>
        <w:ind w:left="278" w:right="442" w:firstLine="420"/>
      </w:pPr>
      <w:r>
        <w:rPr/>
        <w:t>为了满足职业健康安全管理体系要求和实施第 </w:t>
      </w:r>
      <w:r>
        <w:rPr>
          <w:rFonts w:ascii="Times New Roman" w:eastAsia="Times New Roman"/>
        </w:rPr>
        <w:t>6 </w:t>
      </w:r>
      <w:r>
        <w:rPr/>
        <w:t>章所确定的措施，组织应策划、实施、控制和保持所需的过程，通过：</w:t>
      </w:r>
    </w:p>
    <w:p>
      <w:pPr>
        <w:pStyle w:val="ListParagraph"/>
        <w:numPr>
          <w:ilvl w:val="3"/>
          <w:numId w:val="35"/>
        </w:numPr>
        <w:tabs>
          <w:tab w:pos="1107" w:val="left" w:leader="none"/>
        </w:tabs>
        <w:spacing w:line="269" w:lineRule="exact" w:before="0" w:after="0"/>
        <w:ind w:left="1106" w:right="0" w:hanging="409"/>
        <w:jc w:val="left"/>
        <w:rPr>
          <w:sz w:val="21"/>
        </w:rPr>
      </w:pPr>
      <w:r>
        <w:rPr>
          <w:sz w:val="21"/>
        </w:rPr>
        <w:t>建立过程准则；</w:t>
      </w:r>
    </w:p>
    <w:p>
      <w:pPr>
        <w:pStyle w:val="ListParagraph"/>
        <w:numPr>
          <w:ilvl w:val="3"/>
          <w:numId w:val="35"/>
        </w:numPr>
        <w:tabs>
          <w:tab w:pos="1119" w:val="left" w:leader="none"/>
        </w:tabs>
        <w:spacing w:line="240" w:lineRule="auto" w:before="43" w:after="0"/>
        <w:ind w:left="1118" w:right="0" w:hanging="421"/>
        <w:jc w:val="left"/>
        <w:rPr>
          <w:sz w:val="21"/>
        </w:rPr>
      </w:pPr>
      <w:r>
        <w:rPr>
          <w:sz w:val="21"/>
        </w:rPr>
        <w:t>按照准则实施过程控制；</w:t>
      </w:r>
    </w:p>
    <w:p>
      <w:pPr>
        <w:pStyle w:val="ListParagraph"/>
        <w:numPr>
          <w:ilvl w:val="3"/>
          <w:numId w:val="35"/>
        </w:numPr>
        <w:tabs>
          <w:tab w:pos="1107" w:val="left" w:leader="none"/>
        </w:tabs>
        <w:spacing w:line="240" w:lineRule="auto" w:before="43" w:after="0"/>
        <w:ind w:left="1106" w:right="0" w:hanging="409"/>
        <w:jc w:val="left"/>
        <w:rPr>
          <w:sz w:val="21"/>
        </w:rPr>
      </w:pPr>
      <w:r>
        <w:rPr>
          <w:sz w:val="21"/>
        </w:rPr>
        <w:t>保持和保留必要的文件化信息，以确信过程已按策划得到实施；</w:t>
      </w:r>
    </w:p>
    <w:p>
      <w:pPr>
        <w:pStyle w:val="ListParagraph"/>
        <w:numPr>
          <w:ilvl w:val="3"/>
          <w:numId w:val="35"/>
        </w:numPr>
        <w:tabs>
          <w:tab w:pos="1119" w:val="left" w:leader="none"/>
        </w:tabs>
        <w:spacing w:line="240" w:lineRule="auto" w:before="43" w:after="0"/>
        <w:ind w:left="1118" w:right="0" w:hanging="421"/>
        <w:jc w:val="left"/>
        <w:rPr>
          <w:sz w:val="21"/>
        </w:rPr>
      </w:pPr>
      <w:r>
        <w:rPr>
          <w:sz w:val="21"/>
        </w:rPr>
        <w:t>使工作适合于工作人员。</w:t>
      </w:r>
    </w:p>
    <w:p>
      <w:pPr>
        <w:pStyle w:val="BodyText"/>
        <w:ind w:left="698"/>
      </w:pPr>
      <w:r>
        <w:rPr/>
        <w:t>在多雇主的工作场所，组织应与其他组织协调职业健康安全管理体系的相关部分。</w:t>
      </w:r>
    </w:p>
    <w:p>
      <w:pPr>
        <w:pStyle w:val="ListParagraph"/>
        <w:numPr>
          <w:ilvl w:val="2"/>
          <w:numId w:val="35"/>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8.1.2　消除危险源和降低职业健康安全风险" w:id="131"/>
      <w:bookmarkEnd w:id="131"/>
      <w:r>
        <w:rPr/>
      </w:r>
      <w:bookmarkStart w:name="_bookmark40" w:id="132"/>
      <w:bookmarkEnd w:id="132"/>
      <w:r>
        <w:rPr>
          <w:rFonts w:ascii="黑体" w:eastAsia="黑体" w:hint="eastAsia"/>
          <w:sz w:val="21"/>
        </w:rPr>
        <w:t>消除危险源和降低职业健康安全风险</w:t>
      </w:r>
    </w:p>
    <w:p>
      <w:pPr>
        <w:pStyle w:val="BodyText"/>
        <w:spacing w:before="42"/>
        <w:ind w:left="698"/>
      </w:pPr>
      <w:r>
        <w:rPr/>
        <w:t>组织应通过采用下列控制层级，建立、实施和保持用于消除危险源和降低职业健康安全风险的过</w:t>
      </w:r>
    </w:p>
    <w:p>
      <w:pPr>
        <w:pStyle w:val="BodyText"/>
        <w:ind w:left="278"/>
      </w:pPr>
      <w:r>
        <w:rPr/>
        <w:t>程：</w:t>
      </w:r>
    </w:p>
    <w:p>
      <w:pPr>
        <w:pStyle w:val="ListParagraph"/>
        <w:numPr>
          <w:ilvl w:val="0"/>
          <w:numId w:val="36"/>
        </w:numPr>
        <w:tabs>
          <w:tab w:pos="1107" w:val="left" w:leader="none"/>
        </w:tabs>
        <w:spacing w:line="240" w:lineRule="auto" w:before="43" w:after="0"/>
        <w:ind w:left="1106" w:right="0" w:hanging="409"/>
        <w:jc w:val="left"/>
        <w:rPr>
          <w:sz w:val="21"/>
        </w:rPr>
      </w:pPr>
      <w:r>
        <w:rPr>
          <w:sz w:val="21"/>
        </w:rPr>
        <w:t>消除危险源；</w:t>
      </w:r>
    </w:p>
    <w:p>
      <w:pPr>
        <w:pStyle w:val="ListParagraph"/>
        <w:numPr>
          <w:ilvl w:val="0"/>
          <w:numId w:val="36"/>
        </w:numPr>
        <w:tabs>
          <w:tab w:pos="1119" w:val="left" w:leader="none"/>
        </w:tabs>
        <w:spacing w:line="240" w:lineRule="auto" w:before="43" w:after="0"/>
        <w:ind w:left="1118" w:right="0" w:hanging="421"/>
        <w:jc w:val="left"/>
        <w:rPr>
          <w:sz w:val="21"/>
        </w:rPr>
      </w:pPr>
      <w:r>
        <w:rPr>
          <w:sz w:val="21"/>
        </w:rPr>
        <w:t>用危险性低的过程、操作、材料或设备替代；</w:t>
      </w:r>
    </w:p>
    <w:p>
      <w:pPr>
        <w:pStyle w:val="ListParagraph"/>
        <w:numPr>
          <w:ilvl w:val="0"/>
          <w:numId w:val="36"/>
        </w:numPr>
        <w:tabs>
          <w:tab w:pos="1107" w:val="left" w:leader="none"/>
        </w:tabs>
        <w:spacing w:line="240" w:lineRule="auto" w:before="43" w:after="0"/>
        <w:ind w:left="1106" w:right="0" w:hanging="409"/>
        <w:jc w:val="left"/>
        <w:rPr>
          <w:sz w:val="21"/>
        </w:rPr>
      </w:pPr>
      <w:r>
        <w:rPr>
          <w:sz w:val="21"/>
        </w:rPr>
        <w:t>采用工程控制和重新组织工作；</w:t>
      </w:r>
    </w:p>
    <w:p>
      <w:pPr>
        <w:pStyle w:val="ListParagraph"/>
        <w:numPr>
          <w:ilvl w:val="0"/>
          <w:numId w:val="36"/>
        </w:numPr>
        <w:tabs>
          <w:tab w:pos="1119" w:val="left" w:leader="none"/>
        </w:tabs>
        <w:spacing w:line="240" w:lineRule="auto" w:before="43" w:after="0"/>
        <w:ind w:left="1118" w:right="0" w:hanging="421"/>
        <w:jc w:val="left"/>
        <w:rPr>
          <w:sz w:val="21"/>
        </w:rPr>
      </w:pPr>
      <w:r>
        <w:rPr>
          <w:w w:val="95"/>
          <w:sz w:val="21"/>
        </w:rPr>
        <w:t>采用管理控制，包括培训；</w:t>
      </w:r>
    </w:p>
    <w:p>
      <w:pPr>
        <w:pStyle w:val="ListParagraph"/>
        <w:numPr>
          <w:ilvl w:val="0"/>
          <w:numId w:val="36"/>
        </w:numPr>
        <w:tabs>
          <w:tab w:pos="1107" w:val="left" w:leader="none"/>
        </w:tabs>
        <w:spacing w:line="240" w:lineRule="auto" w:before="43" w:after="0"/>
        <w:ind w:left="1106" w:right="0" w:hanging="409"/>
        <w:jc w:val="left"/>
        <w:rPr>
          <w:sz w:val="21"/>
        </w:rPr>
      </w:pPr>
      <w:r>
        <w:rPr>
          <w:w w:val="95"/>
          <w:sz w:val="21"/>
        </w:rPr>
        <w:t>使用适当的个体防护装备。</w:t>
      </w:r>
    </w:p>
    <w:p>
      <w:pPr>
        <w:spacing w:before="63"/>
        <w:ind w:left="700" w:right="0" w:firstLine="0"/>
        <w:jc w:val="left"/>
        <w:rPr>
          <w:sz w:val="18"/>
        </w:rPr>
      </w:pPr>
      <w:r>
        <w:rPr>
          <w:sz w:val="18"/>
        </w:rPr>
        <w:t>注：在许多国家，法律法规要求和其他要求包括了组织无偿为工作人员提供个体防护装备（PPE）的要求。</w:t>
      </w:r>
    </w:p>
    <w:p>
      <w:pPr>
        <w:pStyle w:val="ListParagraph"/>
        <w:numPr>
          <w:ilvl w:val="2"/>
          <w:numId w:val="35"/>
        </w:numPr>
        <w:tabs>
          <w:tab w:pos="1010" w:val="left" w:leader="none"/>
          <w:tab w:pos="1011" w:val="left" w:leader="none"/>
        </w:tabs>
        <w:spacing w:line="240" w:lineRule="auto" w:before="61" w:after="0"/>
        <w:ind w:left="1010" w:right="0" w:hanging="736"/>
        <w:jc w:val="left"/>
        <w:rPr>
          <w:rFonts w:ascii="黑体" w:eastAsia="黑体" w:hint="eastAsia"/>
          <w:sz w:val="21"/>
        </w:rPr>
      </w:pPr>
      <w:bookmarkStart w:name="8.1.3　变更管理" w:id="133"/>
      <w:bookmarkEnd w:id="133"/>
      <w:r>
        <w:rPr/>
      </w:r>
      <w:bookmarkStart w:name="_bookmark41" w:id="134"/>
      <w:bookmarkEnd w:id="134"/>
      <w:r>
        <w:rPr>
          <w:rFonts w:ascii="黑体" w:eastAsia="黑体" w:hint="eastAsia"/>
          <w:sz w:val="21"/>
        </w:rPr>
        <w:t>变更管理</w:t>
      </w:r>
    </w:p>
    <w:p>
      <w:pPr>
        <w:pStyle w:val="BodyText"/>
        <w:spacing w:line="278" w:lineRule="auto"/>
        <w:ind w:left="278" w:right="506" w:firstLine="420"/>
      </w:pPr>
      <w:r>
        <w:rPr>
          <w:w w:val="95"/>
        </w:rPr>
        <w:t>组织应建立过程，用于实施和控制所策划的、影响职业健康安全绩效的临时性和永久性变更。这   </w:t>
      </w:r>
      <w:r>
        <w:rPr/>
        <w:t>些变更包括：</w:t>
      </w:r>
    </w:p>
    <w:p>
      <w:pPr>
        <w:pStyle w:val="ListParagraph"/>
        <w:numPr>
          <w:ilvl w:val="0"/>
          <w:numId w:val="37"/>
        </w:numPr>
        <w:tabs>
          <w:tab w:pos="1119" w:val="left" w:leader="none"/>
        </w:tabs>
        <w:spacing w:line="269" w:lineRule="exact" w:before="0" w:after="0"/>
        <w:ind w:left="1118" w:right="0" w:hanging="421"/>
        <w:jc w:val="left"/>
        <w:rPr>
          <w:sz w:val="21"/>
        </w:rPr>
      </w:pPr>
      <w:r>
        <w:rPr>
          <w:sz w:val="21"/>
        </w:rPr>
        <w:t>新的产品、服务和过程，或对现有产品、服务和过程的变更，包括：</w:t>
      </w:r>
    </w:p>
    <w:p>
      <w:pPr>
        <w:pStyle w:val="BodyText"/>
        <w:ind w:left="1128"/>
      </w:pPr>
      <w:r>
        <w:rPr/>
        <w:t>——工作场所的位置和周边环境；</w:t>
      </w:r>
    </w:p>
    <w:p>
      <w:pPr>
        <w:pStyle w:val="BodyText"/>
        <w:ind w:left="1128"/>
      </w:pPr>
      <w:r>
        <w:rPr>
          <w:rFonts w:ascii="Times New Roman" w:hAnsi="Times New Roman" w:eastAsia="Times New Roman"/>
          <w:w w:val="95"/>
        </w:rPr>
        <w:t>——</w:t>
      </w:r>
      <w:r>
        <w:rPr>
          <w:w w:val="95"/>
        </w:rPr>
        <w:t>工作组织；</w:t>
      </w:r>
    </w:p>
    <w:p>
      <w:pPr>
        <w:pStyle w:val="BodyText"/>
        <w:ind w:left="1128"/>
      </w:pPr>
      <w:r>
        <w:rPr>
          <w:rFonts w:ascii="Times New Roman" w:hAnsi="Times New Roman" w:eastAsia="Times New Roman"/>
          <w:w w:val="95"/>
        </w:rPr>
        <w:t>——</w:t>
      </w:r>
      <w:r>
        <w:rPr>
          <w:w w:val="95"/>
        </w:rPr>
        <w:t>工作条件；</w:t>
      </w:r>
    </w:p>
    <w:p>
      <w:pPr>
        <w:pStyle w:val="BodyText"/>
        <w:ind w:left="1128"/>
      </w:pPr>
      <w:r>
        <w:rPr>
          <w:rFonts w:ascii="Times New Roman" w:hAnsi="Times New Roman" w:eastAsia="Times New Roman"/>
        </w:rPr>
        <w:t>——</w:t>
      </w:r>
      <w:r>
        <w:rPr/>
        <w:t>设备；</w:t>
      </w:r>
    </w:p>
    <w:p>
      <w:pPr>
        <w:pStyle w:val="BodyText"/>
        <w:ind w:left="1128"/>
      </w:pPr>
      <w:r>
        <w:rPr>
          <w:rFonts w:ascii="Times New Roman" w:hAnsi="Times New Roman" w:eastAsia="Times New Roman"/>
        </w:rPr>
        <w:t>——</w:t>
      </w:r>
      <w:r>
        <w:rPr/>
        <w:t>劳动力；</w:t>
      </w:r>
    </w:p>
    <w:p>
      <w:pPr>
        <w:pStyle w:val="ListParagraph"/>
        <w:numPr>
          <w:ilvl w:val="0"/>
          <w:numId w:val="37"/>
        </w:numPr>
        <w:tabs>
          <w:tab w:pos="1119" w:val="left" w:leader="none"/>
        </w:tabs>
        <w:spacing w:line="240" w:lineRule="auto" w:before="43" w:after="0"/>
        <w:ind w:left="1118" w:right="0" w:hanging="421"/>
        <w:jc w:val="left"/>
        <w:rPr>
          <w:sz w:val="21"/>
        </w:rPr>
      </w:pPr>
      <w:r>
        <w:rPr>
          <w:sz w:val="21"/>
        </w:rPr>
        <w:t>法律法规要求和其他要求的变更；</w:t>
      </w:r>
    </w:p>
    <w:p>
      <w:pPr>
        <w:pStyle w:val="ListParagraph"/>
        <w:numPr>
          <w:ilvl w:val="0"/>
          <w:numId w:val="37"/>
        </w:numPr>
        <w:tabs>
          <w:tab w:pos="1119" w:val="left" w:leader="none"/>
        </w:tabs>
        <w:spacing w:line="240" w:lineRule="auto" w:before="43" w:after="0"/>
        <w:ind w:left="1118" w:right="0" w:hanging="421"/>
        <w:jc w:val="left"/>
        <w:rPr>
          <w:sz w:val="21"/>
        </w:rPr>
      </w:pPr>
      <w:r>
        <w:rPr>
          <w:sz w:val="21"/>
        </w:rPr>
        <w:t>有关危险源和职业健康安全风险的知识或信息的变更；</w:t>
      </w:r>
    </w:p>
    <w:p>
      <w:pPr>
        <w:pStyle w:val="ListParagraph"/>
        <w:numPr>
          <w:ilvl w:val="0"/>
          <w:numId w:val="37"/>
        </w:numPr>
        <w:tabs>
          <w:tab w:pos="1119" w:val="left" w:leader="none"/>
        </w:tabs>
        <w:spacing w:line="240" w:lineRule="auto" w:before="43" w:after="0"/>
        <w:ind w:left="1118" w:right="0" w:hanging="421"/>
        <w:jc w:val="left"/>
        <w:rPr>
          <w:sz w:val="21"/>
        </w:rPr>
      </w:pPr>
      <w:r>
        <w:rPr>
          <w:sz w:val="21"/>
        </w:rPr>
        <w:t>知识和技术的发展。</w:t>
      </w:r>
    </w:p>
    <w:p>
      <w:pPr>
        <w:spacing w:after="0" w:line="240" w:lineRule="auto"/>
        <w:jc w:val="left"/>
        <w:rPr>
          <w:sz w:val="21"/>
        </w:rPr>
        <w:sectPr>
          <w:pgSz w:w="11910" w:h="16840"/>
          <w:pgMar w:header="1442" w:footer="850" w:top="1660" w:bottom="1040" w:left="1140" w:right="740"/>
        </w:sectPr>
      </w:pPr>
    </w:p>
    <w:p>
      <w:pPr>
        <w:pStyle w:val="BodyText"/>
        <w:spacing w:before="157"/>
        <w:ind w:left="698"/>
      </w:pPr>
      <w:r>
        <w:rPr/>
        <w:t>组织应评审非预期性变更的后果，必要时采取措施，以减轻任何不利影响。</w:t>
      </w:r>
    </w:p>
    <w:p>
      <w:pPr>
        <w:spacing w:before="64"/>
        <w:ind w:left="700" w:right="0" w:firstLine="0"/>
        <w:jc w:val="left"/>
        <w:rPr>
          <w:sz w:val="18"/>
        </w:rPr>
      </w:pPr>
      <w:r>
        <w:rPr>
          <w:sz w:val="18"/>
        </w:rPr>
        <w:t>注：变更可带来风险和机遇。</w:t>
      </w:r>
    </w:p>
    <w:p>
      <w:pPr>
        <w:pStyle w:val="ListParagraph"/>
        <w:numPr>
          <w:ilvl w:val="2"/>
          <w:numId w:val="35"/>
        </w:numPr>
        <w:tabs>
          <w:tab w:pos="1010" w:val="left" w:leader="none"/>
          <w:tab w:pos="1011" w:val="left" w:leader="none"/>
        </w:tabs>
        <w:spacing w:line="240" w:lineRule="auto" w:before="61" w:after="0"/>
        <w:ind w:left="1010" w:right="0" w:hanging="736"/>
        <w:jc w:val="left"/>
        <w:rPr>
          <w:rFonts w:ascii="黑体" w:eastAsia="黑体" w:hint="eastAsia"/>
          <w:sz w:val="21"/>
        </w:rPr>
      </w:pPr>
      <w:bookmarkStart w:name="8.1.4　采购" w:id="135"/>
      <w:bookmarkEnd w:id="135"/>
      <w:r>
        <w:rPr/>
      </w:r>
      <w:bookmarkStart w:name="_bookmark42" w:id="136"/>
      <w:bookmarkEnd w:id="136"/>
      <w:r>
        <w:rPr>
          <w:rFonts w:ascii="黑体" w:eastAsia="黑体" w:hint="eastAsia"/>
          <w:sz w:val="21"/>
        </w:rPr>
        <w:t>采购</w:t>
      </w:r>
    </w:p>
    <w:p>
      <w:pPr>
        <w:pStyle w:val="ListParagraph"/>
        <w:numPr>
          <w:ilvl w:val="3"/>
          <w:numId w:val="38"/>
        </w:numPr>
        <w:tabs>
          <w:tab w:pos="1221" w:val="left" w:leader="none"/>
          <w:tab w:pos="1222" w:val="left" w:leader="none"/>
        </w:tabs>
        <w:spacing w:line="240" w:lineRule="auto" w:before="43" w:after="0"/>
        <w:ind w:left="1221" w:right="0" w:hanging="947"/>
        <w:jc w:val="left"/>
        <w:rPr>
          <w:rFonts w:ascii="黑体" w:eastAsia="黑体" w:hint="eastAsia"/>
          <w:sz w:val="21"/>
        </w:rPr>
      </w:pPr>
      <w:bookmarkStart w:name="8.1.4.1　总则" w:id="137"/>
      <w:bookmarkEnd w:id="137"/>
      <w:r>
        <w:rPr>
          <w:rFonts w:ascii="黑体" w:eastAsia="黑体" w:hint="eastAsia"/>
          <w:sz w:val="21"/>
        </w:rPr>
        <w:t>总则</w:t>
      </w:r>
    </w:p>
    <w:p>
      <w:pPr>
        <w:pStyle w:val="BodyText"/>
        <w:spacing w:line="278" w:lineRule="auto" w:before="42"/>
        <w:ind w:left="278" w:right="506" w:firstLine="420"/>
      </w:pPr>
      <w:r>
        <w:rPr>
          <w:w w:val="95"/>
        </w:rPr>
        <w:t>组织应建立、实施和保持用于控制产品和服务采购的过程，以确保采购符合其职业健康安全管理   </w:t>
      </w:r>
      <w:r>
        <w:rPr/>
        <w:t>体系。</w:t>
      </w:r>
    </w:p>
    <w:p>
      <w:pPr>
        <w:pStyle w:val="ListParagraph"/>
        <w:numPr>
          <w:ilvl w:val="3"/>
          <w:numId w:val="38"/>
        </w:numPr>
        <w:tabs>
          <w:tab w:pos="1221" w:val="left" w:leader="none"/>
          <w:tab w:pos="1222" w:val="left" w:leader="none"/>
        </w:tabs>
        <w:spacing w:line="269" w:lineRule="exact" w:before="0" w:after="0"/>
        <w:ind w:left="1221" w:right="0" w:hanging="947"/>
        <w:jc w:val="left"/>
        <w:rPr>
          <w:rFonts w:ascii="黑体" w:eastAsia="黑体" w:hint="eastAsia"/>
          <w:sz w:val="21"/>
        </w:rPr>
      </w:pPr>
      <w:bookmarkStart w:name="8.1.4.2　承包方" w:id="138"/>
      <w:bookmarkEnd w:id="138"/>
      <w:r>
        <w:rPr>
          <w:rFonts w:ascii="黑体" w:eastAsia="黑体" w:hint="eastAsia"/>
          <w:sz w:val="21"/>
        </w:rPr>
        <w:t>承包方</w:t>
      </w:r>
    </w:p>
    <w:p>
      <w:pPr>
        <w:pStyle w:val="BodyText"/>
        <w:spacing w:line="278" w:lineRule="auto"/>
        <w:ind w:left="278" w:right="506" w:firstLine="420"/>
      </w:pPr>
      <w:r>
        <w:rPr>
          <w:w w:val="95"/>
        </w:rPr>
        <w:t>组织应与承包方协调其采购过程，以辨识由下列方面所产生的危险源并评价和控制职业健康安全   </w:t>
      </w:r>
      <w:r>
        <w:rPr/>
        <w:t>风险：</w:t>
      </w:r>
    </w:p>
    <w:p>
      <w:pPr>
        <w:pStyle w:val="ListParagraph"/>
        <w:numPr>
          <w:ilvl w:val="4"/>
          <w:numId w:val="38"/>
        </w:numPr>
        <w:tabs>
          <w:tab w:pos="1107" w:val="left" w:leader="none"/>
        </w:tabs>
        <w:spacing w:line="269" w:lineRule="exact" w:before="0" w:after="0"/>
        <w:ind w:left="1106" w:right="0" w:hanging="409"/>
        <w:jc w:val="left"/>
        <w:rPr>
          <w:sz w:val="21"/>
        </w:rPr>
      </w:pPr>
      <w:r>
        <w:rPr>
          <w:sz w:val="21"/>
        </w:rPr>
        <w:t>对组织造成影响的承包方的活动和运行；</w:t>
      </w:r>
    </w:p>
    <w:p>
      <w:pPr>
        <w:pStyle w:val="ListParagraph"/>
        <w:numPr>
          <w:ilvl w:val="4"/>
          <w:numId w:val="38"/>
        </w:numPr>
        <w:tabs>
          <w:tab w:pos="1119" w:val="left" w:leader="none"/>
        </w:tabs>
        <w:spacing w:line="240" w:lineRule="auto" w:before="43" w:after="0"/>
        <w:ind w:left="1118" w:right="0" w:hanging="421"/>
        <w:jc w:val="left"/>
        <w:rPr>
          <w:sz w:val="21"/>
        </w:rPr>
      </w:pPr>
      <w:r>
        <w:rPr>
          <w:sz w:val="21"/>
        </w:rPr>
        <w:t>对承包方工作人员造成影响的组织的活动和运行；</w:t>
      </w:r>
    </w:p>
    <w:p>
      <w:pPr>
        <w:pStyle w:val="ListParagraph"/>
        <w:numPr>
          <w:ilvl w:val="4"/>
          <w:numId w:val="38"/>
        </w:numPr>
        <w:tabs>
          <w:tab w:pos="1107" w:val="left" w:leader="none"/>
        </w:tabs>
        <w:spacing w:line="240" w:lineRule="auto" w:before="43" w:after="0"/>
        <w:ind w:left="1106" w:right="0" w:hanging="409"/>
        <w:jc w:val="left"/>
        <w:rPr>
          <w:sz w:val="21"/>
        </w:rPr>
      </w:pPr>
      <w:r>
        <w:rPr>
          <w:sz w:val="21"/>
        </w:rPr>
        <w:t>对工作场所内其他相关方造成影响的承包方的活动和运行。</w:t>
      </w:r>
    </w:p>
    <w:p>
      <w:pPr>
        <w:pStyle w:val="BodyText"/>
        <w:spacing w:line="278" w:lineRule="auto"/>
        <w:ind w:left="278" w:right="506" w:firstLine="420"/>
      </w:pPr>
      <w:r>
        <w:rPr>
          <w:w w:val="95"/>
        </w:rPr>
        <w:t>组织应确保承包方及其工作人员满足组织的职业健康安全管理体系要求。组织的采购过程应规定   </w:t>
      </w:r>
      <w:r>
        <w:rPr/>
        <w:t>和应用选择承包方的职业健康安全准则。</w:t>
      </w:r>
    </w:p>
    <w:p>
      <w:pPr>
        <w:spacing w:before="20"/>
        <w:ind w:left="700" w:right="0" w:firstLine="0"/>
        <w:jc w:val="left"/>
        <w:rPr>
          <w:sz w:val="18"/>
        </w:rPr>
      </w:pPr>
      <w:r>
        <w:rPr>
          <w:sz w:val="18"/>
        </w:rPr>
        <w:t>注：在合同文件中包含选择承包方的职业健康安全准则是有益的。</w:t>
      </w:r>
    </w:p>
    <w:p>
      <w:pPr>
        <w:pStyle w:val="ListParagraph"/>
        <w:numPr>
          <w:ilvl w:val="3"/>
          <w:numId w:val="38"/>
        </w:numPr>
        <w:tabs>
          <w:tab w:pos="1221" w:val="left" w:leader="none"/>
          <w:tab w:pos="1222" w:val="left" w:leader="none"/>
        </w:tabs>
        <w:spacing w:line="240" w:lineRule="auto" w:before="61" w:after="0"/>
        <w:ind w:left="1221" w:right="0" w:hanging="947"/>
        <w:jc w:val="left"/>
        <w:rPr>
          <w:rFonts w:ascii="黑体" w:eastAsia="黑体" w:hint="eastAsia"/>
          <w:sz w:val="21"/>
        </w:rPr>
      </w:pPr>
      <w:bookmarkStart w:name="8.1.4.3　外包" w:id="139"/>
      <w:bookmarkEnd w:id="139"/>
      <w:r>
        <w:rPr>
          <w:rFonts w:ascii="黑体" w:eastAsia="黑体" w:hint="eastAsia"/>
          <w:sz w:val="21"/>
        </w:rPr>
        <w:t>外包</w:t>
      </w:r>
    </w:p>
    <w:p>
      <w:pPr>
        <w:pStyle w:val="BodyText"/>
        <w:spacing w:line="278" w:lineRule="auto"/>
        <w:ind w:left="278" w:right="506" w:firstLine="420"/>
        <w:jc w:val="both"/>
      </w:pPr>
      <w:r>
        <w:rPr>
          <w:w w:val="95"/>
        </w:rPr>
        <w:t>组织应确保外包的职能和过程得到控制。组织应确保其外包安排符合法律法规要求和其他要求，   并与实现职业健康安全管理体系的预期结果相一致。组织应在职业健康安全管理体系内确定对这些职   </w:t>
      </w:r>
      <w:r>
        <w:rPr/>
        <w:t>能和过程实施控制的类型和程度。</w:t>
      </w:r>
    </w:p>
    <w:p>
      <w:pPr>
        <w:spacing w:before="20"/>
        <w:ind w:left="700" w:right="0" w:firstLine="0"/>
        <w:jc w:val="left"/>
        <w:rPr>
          <w:sz w:val="18"/>
        </w:rPr>
      </w:pPr>
      <w:r>
        <w:rPr>
          <w:sz w:val="18"/>
        </w:rPr>
        <w:t>注：与外部供方进行协调可助于组织应对外包对其职业健康安全绩效的任何影响。</w:t>
      </w:r>
    </w:p>
    <w:p>
      <w:pPr>
        <w:pStyle w:val="ListParagraph"/>
        <w:numPr>
          <w:ilvl w:val="1"/>
          <w:numId w:val="11"/>
        </w:numPr>
        <w:tabs>
          <w:tab w:pos="803" w:val="left" w:leader="none"/>
          <w:tab w:pos="804" w:val="left" w:leader="none"/>
        </w:tabs>
        <w:spacing w:line="240" w:lineRule="auto" w:before="61" w:after="0"/>
        <w:ind w:left="804" w:right="0" w:hanging="526"/>
        <w:jc w:val="left"/>
        <w:rPr>
          <w:rFonts w:ascii="黑体" w:eastAsia="黑体" w:hint="eastAsia"/>
          <w:sz w:val="21"/>
        </w:rPr>
      </w:pPr>
      <w:bookmarkStart w:name="8.2　应急准备和响应" w:id="140"/>
      <w:bookmarkEnd w:id="140"/>
      <w:r>
        <w:rPr/>
      </w:r>
      <w:bookmarkStart w:name="_bookmark43" w:id="141"/>
      <w:bookmarkEnd w:id="141"/>
      <w:r>
        <w:rPr>
          <w:rFonts w:ascii="黑体" w:eastAsia="黑体" w:hint="eastAsia"/>
          <w:sz w:val="21"/>
        </w:rPr>
        <w:t>应急准备和响应</w:t>
      </w:r>
    </w:p>
    <w:p>
      <w:pPr>
        <w:pStyle w:val="BodyText"/>
        <w:spacing w:line="278" w:lineRule="auto"/>
        <w:ind w:left="278" w:right="504" w:firstLine="420"/>
      </w:pPr>
      <w:r>
        <w:rPr>
          <w:spacing w:val="-16"/>
        </w:rPr>
        <w:t>为了对 </w:t>
      </w:r>
      <w:r>
        <w:rPr>
          <w:rFonts w:ascii="Times New Roman" w:eastAsia="Times New Roman"/>
        </w:rPr>
        <w:t>6.1.2.1 </w:t>
      </w:r>
      <w:r>
        <w:rPr>
          <w:spacing w:val="-3"/>
        </w:rPr>
        <w:t>中所识别的潜在紧急情况进行应急准备并做出响应，组织应建立、实施和保持所需的过程，包括：</w:t>
      </w:r>
    </w:p>
    <w:p>
      <w:pPr>
        <w:pStyle w:val="ListParagraph"/>
        <w:numPr>
          <w:ilvl w:val="0"/>
          <w:numId w:val="39"/>
        </w:numPr>
        <w:tabs>
          <w:tab w:pos="1107" w:val="left" w:leader="none"/>
        </w:tabs>
        <w:spacing w:line="269" w:lineRule="exact" w:before="0" w:after="0"/>
        <w:ind w:left="1106" w:right="0" w:hanging="409"/>
        <w:jc w:val="left"/>
        <w:rPr>
          <w:sz w:val="21"/>
        </w:rPr>
      </w:pPr>
      <w:r>
        <w:rPr>
          <w:sz w:val="21"/>
        </w:rPr>
        <w:t>针对紧急情况建立所策划的响应，包括提供急救；</w:t>
      </w:r>
    </w:p>
    <w:p>
      <w:pPr>
        <w:pStyle w:val="ListParagraph"/>
        <w:numPr>
          <w:ilvl w:val="0"/>
          <w:numId w:val="39"/>
        </w:numPr>
        <w:tabs>
          <w:tab w:pos="1119" w:val="left" w:leader="none"/>
        </w:tabs>
        <w:spacing w:line="240" w:lineRule="auto" w:before="43" w:after="0"/>
        <w:ind w:left="1118" w:right="0" w:hanging="421"/>
        <w:jc w:val="left"/>
        <w:rPr>
          <w:sz w:val="21"/>
        </w:rPr>
      </w:pPr>
      <w:r>
        <w:rPr>
          <w:sz w:val="21"/>
        </w:rPr>
        <w:t>为所策划的响应提供培训；</w:t>
      </w:r>
    </w:p>
    <w:p>
      <w:pPr>
        <w:pStyle w:val="ListParagraph"/>
        <w:numPr>
          <w:ilvl w:val="0"/>
          <w:numId w:val="39"/>
        </w:numPr>
        <w:tabs>
          <w:tab w:pos="1107" w:val="left" w:leader="none"/>
        </w:tabs>
        <w:spacing w:line="240" w:lineRule="auto" w:before="43" w:after="0"/>
        <w:ind w:left="1106" w:right="0" w:hanging="409"/>
        <w:jc w:val="left"/>
        <w:rPr>
          <w:sz w:val="21"/>
        </w:rPr>
      </w:pPr>
      <w:r>
        <w:rPr>
          <w:sz w:val="21"/>
        </w:rPr>
        <w:t>定期测试和演练所策划的响应能力；</w:t>
      </w:r>
    </w:p>
    <w:p>
      <w:pPr>
        <w:pStyle w:val="ListParagraph"/>
        <w:numPr>
          <w:ilvl w:val="0"/>
          <w:numId w:val="39"/>
        </w:numPr>
        <w:tabs>
          <w:tab w:pos="1119" w:val="left" w:leader="none"/>
        </w:tabs>
        <w:spacing w:line="240" w:lineRule="auto" w:before="43" w:after="0"/>
        <w:ind w:left="1118" w:right="0" w:hanging="421"/>
        <w:jc w:val="left"/>
        <w:rPr>
          <w:sz w:val="21"/>
        </w:rPr>
      </w:pPr>
      <w:r>
        <w:rPr>
          <w:sz w:val="21"/>
        </w:rPr>
        <w:t>评价绩效，必要时（包括在测试之后，尤其是在紧急情况发生之后）修订所策划的响应；</w:t>
      </w:r>
    </w:p>
    <w:p>
      <w:pPr>
        <w:pStyle w:val="ListParagraph"/>
        <w:numPr>
          <w:ilvl w:val="0"/>
          <w:numId w:val="39"/>
        </w:numPr>
        <w:tabs>
          <w:tab w:pos="1107" w:val="left" w:leader="none"/>
        </w:tabs>
        <w:spacing w:line="240" w:lineRule="auto" w:before="43" w:after="0"/>
        <w:ind w:left="1106" w:right="0" w:hanging="409"/>
        <w:jc w:val="left"/>
        <w:rPr>
          <w:sz w:val="21"/>
        </w:rPr>
      </w:pPr>
      <w:r>
        <w:rPr>
          <w:sz w:val="21"/>
        </w:rPr>
        <w:t>与所有工作人员沟通并提供与其义务和职责有关的信息；</w:t>
      </w:r>
    </w:p>
    <w:p>
      <w:pPr>
        <w:pStyle w:val="ListParagraph"/>
        <w:numPr>
          <w:ilvl w:val="0"/>
          <w:numId w:val="39"/>
        </w:numPr>
        <w:tabs>
          <w:tab w:pos="1083" w:val="left" w:leader="none"/>
        </w:tabs>
        <w:spacing w:line="240" w:lineRule="auto" w:before="43" w:after="0"/>
        <w:ind w:left="1082" w:right="0" w:hanging="385"/>
        <w:jc w:val="left"/>
        <w:rPr>
          <w:sz w:val="21"/>
        </w:rPr>
      </w:pPr>
      <w:r>
        <w:rPr>
          <w:sz w:val="21"/>
        </w:rPr>
        <w:t>与承包方、访问者、应急响应服务机构、政府部门、当地社区（适当时）沟通相关信息；</w:t>
      </w:r>
    </w:p>
    <w:p>
      <w:pPr>
        <w:pStyle w:val="ListParagraph"/>
        <w:numPr>
          <w:ilvl w:val="0"/>
          <w:numId w:val="39"/>
        </w:numPr>
        <w:tabs>
          <w:tab w:pos="1119" w:val="left" w:leader="none"/>
        </w:tabs>
        <w:spacing w:line="278" w:lineRule="auto" w:before="43" w:after="0"/>
        <w:ind w:left="698" w:right="1557" w:firstLine="0"/>
        <w:jc w:val="left"/>
        <w:rPr>
          <w:sz w:val="21"/>
        </w:rPr>
      </w:pPr>
      <w:r>
        <w:rPr>
          <w:w w:val="95"/>
          <w:sz w:val="21"/>
        </w:rPr>
        <w:t>必须考虑所有有关相关方的需求和能力，适当时确保其参与制定所策划的响应。  </w:t>
      </w:r>
      <w:r>
        <w:rPr>
          <w:sz w:val="21"/>
        </w:rPr>
        <w:t>组织应保持和保留关于响应潜在紧急情况的过程和计划的文件化信息。</w:t>
      </w:r>
    </w:p>
    <w:p>
      <w:pPr>
        <w:pStyle w:val="ListParagraph"/>
        <w:numPr>
          <w:ilvl w:val="0"/>
          <w:numId w:val="11"/>
        </w:numPr>
        <w:tabs>
          <w:tab w:pos="592" w:val="left" w:leader="none"/>
          <w:tab w:pos="593" w:val="left" w:leader="none"/>
        </w:tabs>
        <w:spacing w:line="269" w:lineRule="exact" w:before="0" w:after="0"/>
        <w:ind w:left="592" w:right="0" w:hanging="315"/>
        <w:jc w:val="left"/>
        <w:rPr>
          <w:rFonts w:ascii="黑体" w:eastAsia="黑体" w:hint="eastAsia"/>
          <w:sz w:val="21"/>
        </w:rPr>
      </w:pPr>
      <w:bookmarkStart w:name="9　绩效评价" w:id="142"/>
      <w:bookmarkEnd w:id="142"/>
      <w:r>
        <w:rPr/>
      </w:r>
      <w:bookmarkStart w:name="_bookmark44" w:id="143"/>
      <w:bookmarkEnd w:id="143"/>
      <w:r>
        <w:rPr>
          <w:rFonts w:ascii="黑体" w:eastAsia="黑体" w:hint="eastAsia"/>
          <w:sz w:val="21"/>
        </w:rPr>
        <w:t>绩效评价</w:t>
      </w:r>
    </w:p>
    <w:p>
      <w:pPr>
        <w:pStyle w:val="ListParagraph"/>
        <w:numPr>
          <w:ilvl w:val="1"/>
          <w:numId w:val="11"/>
        </w:numPr>
        <w:tabs>
          <w:tab w:pos="803" w:val="left" w:leader="none"/>
          <w:tab w:pos="804" w:val="left" w:leader="none"/>
        </w:tabs>
        <w:spacing w:line="240" w:lineRule="auto" w:before="43" w:after="0"/>
        <w:ind w:left="804" w:right="0" w:hanging="526"/>
        <w:jc w:val="left"/>
        <w:rPr>
          <w:rFonts w:ascii="黑体" w:eastAsia="黑体" w:hint="eastAsia"/>
          <w:sz w:val="21"/>
        </w:rPr>
      </w:pPr>
      <w:bookmarkStart w:name="9.1　监视、测量、分析和评价绩效" w:id="144"/>
      <w:bookmarkEnd w:id="144"/>
      <w:r>
        <w:rPr/>
      </w:r>
      <w:bookmarkStart w:name="_bookmark45" w:id="145"/>
      <w:bookmarkEnd w:id="145"/>
      <w:r>
        <w:rPr>
          <w:rFonts w:ascii="黑体" w:eastAsia="黑体" w:hint="eastAsia"/>
          <w:sz w:val="21"/>
        </w:rPr>
        <w:t>监视、测量、分析和评价绩效</w:t>
      </w:r>
    </w:p>
    <w:p>
      <w:pPr>
        <w:pStyle w:val="ListParagraph"/>
        <w:numPr>
          <w:ilvl w:val="2"/>
          <w:numId w:val="40"/>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9.1.1　总则" w:id="146"/>
      <w:bookmarkEnd w:id="146"/>
      <w:r>
        <w:rPr/>
      </w:r>
      <w:bookmarkStart w:name="_bookmark46" w:id="147"/>
      <w:bookmarkEnd w:id="147"/>
      <w:r>
        <w:rPr>
          <w:rFonts w:ascii="黑体" w:eastAsia="黑体" w:hint="eastAsia"/>
          <w:sz w:val="21"/>
        </w:rPr>
        <w:t>总则</w:t>
      </w:r>
    </w:p>
    <w:p>
      <w:pPr>
        <w:pStyle w:val="BodyText"/>
        <w:spacing w:line="278" w:lineRule="auto"/>
        <w:ind w:left="698" w:right="3029"/>
      </w:pPr>
      <w:r>
        <w:rPr>
          <w:w w:val="95"/>
        </w:rPr>
        <w:t>组织应建立、实施和保持用于监视、测量、分析和评价绩效的过程。  </w:t>
      </w:r>
      <w:r>
        <w:rPr/>
        <w:t>组织应确定：</w:t>
      </w:r>
    </w:p>
    <w:p>
      <w:pPr>
        <w:pStyle w:val="ListParagraph"/>
        <w:numPr>
          <w:ilvl w:val="3"/>
          <w:numId w:val="40"/>
        </w:numPr>
        <w:tabs>
          <w:tab w:pos="1107" w:val="left" w:leader="none"/>
        </w:tabs>
        <w:spacing w:line="269" w:lineRule="exact" w:before="0" w:after="0"/>
        <w:ind w:left="1106" w:right="0" w:hanging="409"/>
        <w:jc w:val="left"/>
        <w:rPr>
          <w:sz w:val="21"/>
        </w:rPr>
      </w:pPr>
      <w:r>
        <w:rPr>
          <w:sz w:val="21"/>
        </w:rPr>
        <w:t>需要监视和测量的内容，包括：</w:t>
      </w:r>
    </w:p>
    <w:p>
      <w:pPr>
        <w:pStyle w:val="ListParagraph"/>
        <w:numPr>
          <w:ilvl w:val="4"/>
          <w:numId w:val="40"/>
        </w:numPr>
        <w:tabs>
          <w:tab w:pos="1548" w:val="left" w:leader="none"/>
        </w:tabs>
        <w:spacing w:line="240" w:lineRule="auto" w:before="43" w:after="0"/>
        <w:ind w:left="1548" w:right="0" w:hanging="420"/>
        <w:jc w:val="left"/>
        <w:rPr>
          <w:sz w:val="21"/>
        </w:rPr>
      </w:pPr>
      <w:r>
        <w:rPr>
          <w:sz w:val="21"/>
        </w:rPr>
        <w:t>满足法律法规要求和其他要求的程度；</w:t>
      </w:r>
    </w:p>
    <w:p>
      <w:pPr>
        <w:pStyle w:val="ListParagraph"/>
        <w:numPr>
          <w:ilvl w:val="4"/>
          <w:numId w:val="40"/>
        </w:numPr>
        <w:tabs>
          <w:tab w:pos="1548" w:val="left" w:leader="none"/>
        </w:tabs>
        <w:spacing w:line="240" w:lineRule="auto" w:before="43" w:after="0"/>
        <w:ind w:left="1548" w:right="0" w:hanging="420"/>
        <w:jc w:val="left"/>
        <w:rPr>
          <w:sz w:val="21"/>
        </w:rPr>
      </w:pPr>
      <w:r>
        <w:rPr>
          <w:sz w:val="21"/>
        </w:rPr>
        <w:t>与所辨识的危险源、风险和机遇相关的活动和运行；</w:t>
      </w:r>
    </w:p>
    <w:p>
      <w:pPr>
        <w:pStyle w:val="ListParagraph"/>
        <w:numPr>
          <w:ilvl w:val="4"/>
          <w:numId w:val="40"/>
        </w:numPr>
        <w:tabs>
          <w:tab w:pos="1548" w:val="left" w:leader="none"/>
        </w:tabs>
        <w:spacing w:line="240" w:lineRule="auto" w:before="43" w:after="0"/>
        <w:ind w:left="1548" w:right="0" w:hanging="420"/>
        <w:jc w:val="left"/>
        <w:rPr>
          <w:sz w:val="21"/>
        </w:rPr>
      </w:pPr>
      <w:r>
        <w:rPr>
          <w:sz w:val="21"/>
        </w:rPr>
        <w:t>实现组织职业健康安全目标的进展情况；</w:t>
      </w:r>
    </w:p>
    <w:p>
      <w:pPr>
        <w:pStyle w:val="ListParagraph"/>
        <w:numPr>
          <w:ilvl w:val="4"/>
          <w:numId w:val="40"/>
        </w:numPr>
        <w:tabs>
          <w:tab w:pos="1548" w:val="left" w:leader="none"/>
        </w:tabs>
        <w:spacing w:line="240" w:lineRule="auto" w:before="42" w:after="0"/>
        <w:ind w:left="1548" w:right="0" w:hanging="420"/>
        <w:jc w:val="left"/>
        <w:rPr>
          <w:sz w:val="21"/>
        </w:rPr>
      </w:pPr>
      <w:r>
        <w:rPr>
          <w:sz w:val="21"/>
        </w:rPr>
        <w:t>运行控制和其他控制的有效性；</w:t>
      </w:r>
    </w:p>
    <w:p>
      <w:pPr>
        <w:pStyle w:val="ListParagraph"/>
        <w:numPr>
          <w:ilvl w:val="3"/>
          <w:numId w:val="40"/>
        </w:numPr>
        <w:tabs>
          <w:tab w:pos="1119" w:val="left" w:leader="none"/>
        </w:tabs>
        <w:spacing w:line="240" w:lineRule="auto" w:before="43" w:after="0"/>
        <w:ind w:left="1118" w:right="0" w:hanging="421"/>
        <w:jc w:val="left"/>
        <w:rPr>
          <w:sz w:val="21"/>
        </w:rPr>
      </w:pPr>
      <w:r>
        <w:rPr>
          <w:sz w:val="21"/>
        </w:rPr>
        <w:t>适用时，为确保结果有效而所采用的监视、测量、分析和评价绩效的方法；</w:t>
      </w:r>
    </w:p>
    <w:p>
      <w:pPr>
        <w:pStyle w:val="ListParagraph"/>
        <w:numPr>
          <w:ilvl w:val="3"/>
          <w:numId w:val="40"/>
        </w:numPr>
        <w:tabs>
          <w:tab w:pos="1107" w:val="left" w:leader="none"/>
        </w:tabs>
        <w:spacing w:line="240" w:lineRule="auto" w:before="43" w:after="0"/>
        <w:ind w:left="1106" w:right="0" w:hanging="409"/>
        <w:jc w:val="left"/>
        <w:rPr>
          <w:sz w:val="21"/>
        </w:rPr>
      </w:pPr>
      <w:r>
        <w:rPr>
          <w:sz w:val="21"/>
        </w:rPr>
        <w:t>组织评价其职业健康安全绩效所依据的准则；</w:t>
      </w:r>
    </w:p>
    <w:p>
      <w:pPr>
        <w:pStyle w:val="ListParagraph"/>
        <w:numPr>
          <w:ilvl w:val="3"/>
          <w:numId w:val="40"/>
        </w:numPr>
        <w:tabs>
          <w:tab w:pos="1119" w:val="left" w:leader="none"/>
        </w:tabs>
        <w:spacing w:line="240" w:lineRule="auto" w:before="43" w:after="0"/>
        <w:ind w:left="1118" w:right="0" w:hanging="421"/>
        <w:jc w:val="left"/>
        <w:rPr>
          <w:sz w:val="21"/>
        </w:rPr>
      </w:pPr>
      <w:r>
        <w:rPr>
          <w:sz w:val="21"/>
        </w:rPr>
        <w:t>何时应实施监视和测量；</w:t>
      </w:r>
    </w:p>
    <w:p>
      <w:pPr>
        <w:spacing w:after="0" w:line="240" w:lineRule="auto"/>
        <w:jc w:val="left"/>
        <w:rPr>
          <w:sz w:val="21"/>
        </w:rPr>
        <w:sectPr>
          <w:pgSz w:w="11910" w:h="16840"/>
          <w:pgMar w:header="1442" w:footer="850" w:top="1660" w:bottom="1040" w:left="1140" w:right="740"/>
        </w:sectPr>
      </w:pPr>
    </w:p>
    <w:p>
      <w:pPr>
        <w:pStyle w:val="ListParagraph"/>
        <w:numPr>
          <w:ilvl w:val="3"/>
          <w:numId w:val="40"/>
        </w:numPr>
        <w:tabs>
          <w:tab w:pos="1107" w:val="left" w:leader="none"/>
        </w:tabs>
        <w:spacing w:line="240" w:lineRule="auto" w:before="157" w:after="0"/>
        <w:ind w:left="1106" w:right="0" w:hanging="409"/>
        <w:jc w:val="left"/>
        <w:rPr>
          <w:sz w:val="21"/>
        </w:rPr>
      </w:pPr>
      <w:r>
        <w:rPr>
          <w:sz w:val="21"/>
        </w:rPr>
        <w:t>何时应分析、评价和沟通监视和测量的结果。</w:t>
      </w:r>
    </w:p>
    <w:p>
      <w:pPr>
        <w:pStyle w:val="BodyText"/>
        <w:ind w:left="698"/>
      </w:pPr>
      <w:r>
        <w:rPr/>
        <w:t>组织应评价其职业健康安全绩效并确定职业健康安全管理体系的有效性。</w:t>
      </w:r>
    </w:p>
    <w:p>
      <w:pPr>
        <w:pStyle w:val="BodyText"/>
        <w:ind w:left="698"/>
      </w:pPr>
      <w:r>
        <w:rPr/>
        <w:t>组织应确保监视和测量设备在适用时得到校准或验证，并被适当使用和维护。</w:t>
      </w:r>
    </w:p>
    <w:p>
      <w:pPr>
        <w:spacing w:before="64"/>
        <w:ind w:left="700" w:right="0" w:firstLine="0"/>
        <w:jc w:val="left"/>
        <w:rPr>
          <w:sz w:val="18"/>
        </w:rPr>
      </w:pPr>
      <w:r>
        <w:rPr>
          <w:sz w:val="18"/>
        </w:rPr>
        <w:t>注：法律法规要求和其他要求（如国家标准或国际标准）可能涉及监视和测量设备的校准或检定。</w:t>
      </w:r>
    </w:p>
    <w:p>
      <w:pPr>
        <w:pStyle w:val="BodyText"/>
        <w:spacing w:before="60"/>
        <w:ind w:left="698"/>
      </w:pPr>
      <w:r>
        <w:rPr/>
        <w:t>组织应保留适当的文件化信息：</w:t>
      </w:r>
    </w:p>
    <w:p>
      <w:pPr>
        <w:pStyle w:val="BodyText"/>
        <w:ind w:left="698"/>
      </w:pPr>
      <w:r>
        <w:rPr/>
        <w:t>——作为监视、测量、分析和评价绩效的结果的证据；</w:t>
      </w:r>
    </w:p>
    <w:p>
      <w:pPr>
        <w:pStyle w:val="BodyText"/>
        <w:ind w:left="698"/>
      </w:pPr>
      <w:r>
        <w:rPr/>
        <w:t>——记录有关测量设备的维护、校准或验证。</w:t>
      </w:r>
    </w:p>
    <w:p>
      <w:pPr>
        <w:pStyle w:val="ListParagraph"/>
        <w:numPr>
          <w:ilvl w:val="2"/>
          <w:numId w:val="40"/>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9.1.2　合规性评价" w:id="148"/>
      <w:bookmarkEnd w:id="148"/>
      <w:r>
        <w:rPr/>
      </w:r>
      <w:bookmarkStart w:name="_bookmark47" w:id="149"/>
      <w:bookmarkEnd w:id="149"/>
      <w:r>
        <w:rPr>
          <w:rFonts w:ascii="黑体" w:eastAsia="黑体" w:hint="eastAsia"/>
          <w:sz w:val="21"/>
        </w:rPr>
        <w:t>合规性评价</w:t>
      </w:r>
    </w:p>
    <w:p>
      <w:pPr>
        <w:pStyle w:val="BodyText"/>
        <w:spacing w:line="278" w:lineRule="auto"/>
        <w:ind w:left="698" w:right="392"/>
      </w:pPr>
      <w:r>
        <w:rPr/>
        <w:t>组织应建立、实施和保持用于对法律法规要求和其他要求（见 </w:t>
      </w:r>
      <w:r>
        <w:rPr>
          <w:rFonts w:ascii="Times New Roman" w:eastAsia="Times New Roman"/>
        </w:rPr>
        <w:t>6.1.3</w:t>
      </w:r>
      <w:r>
        <w:rPr/>
        <w:t>）的合规性进行评价的过程。组织应：</w:t>
      </w:r>
    </w:p>
    <w:p>
      <w:pPr>
        <w:pStyle w:val="ListParagraph"/>
        <w:numPr>
          <w:ilvl w:val="0"/>
          <w:numId w:val="41"/>
        </w:numPr>
        <w:tabs>
          <w:tab w:pos="1107" w:val="left" w:leader="none"/>
        </w:tabs>
        <w:spacing w:line="269" w:lineRule="exact" w:before="0" w:after="0"/>
        <w:ind w:left="1106" w:right="0" w:hanging="409"/>
        <w:jc w:val="left"/>
        <w:rPr>
          <w:sz w:val="21"/>
        </w:rPr>
      </w:pPr>
      <w:r>
        <w:rPr>
          <w:sz w:val="21"/>
        </w:rPr>
        <w:t>确定实施合规性评价的频次和方法；</w:t>
      </w:r>
    </w:p>
    <w:p>
      <w:pPr>
        <w:pStyle w:val="ListParagraph"/>
        <w:numPr>
          <w:ilvl w:val="0"/>
          <w:numId w:val="41"/>
        </w:numPr>
        <w:tabs>
          <w:tab w:pos="1119" w:val="left" w:leader="none"/>
        </w:tabs>
        <w:spacing w:line="240" w:lineRule="auto" w:before="43" w:after="0"/>
        <w:ind w:left="1118" w:right="0" w:hanging="421"/>
        <w:jc w:val="left"/>
        <w:rPr>
          <w:sz w:val="21"/>
        </w:rPr>
      </w:pPr>
      <w:r>
        <w:rPr>
          <w:spacing w:val="-1"/>
          <w:w w:val="99"/>
          <w:sz w:val="21"/>
        </w:rPr>
        <w:t>评价合规性，并在需要时采取措施</w:t>
      </w:r>
      <w:r>
        <w:rPr>
          <w:spacing w:val="2"/>
          <w:w w:val="99"/>
          <w:sz w:val="21"/>
        </w:rPr>
        <w:t>（</w:t>
      </w:r>
      <w:r>
        <w:rPr>
          <w:w w:val="99"/>
          <w:sz w:val="21"/>
        </w:rPr>
        <w:t>见</w:t>
      </w:r>
      <w:r>
        <w:rPr>
          <w:spacing w:val="-53"/>
          <w:sz w:val="21"/>
        </w:rPr>
        <w:t> </w:t>
      </w:r>
      <w:r>
        <w:rPr>
          <w:rFonts w:ascii="Times New Roman" w:eastAsia="Times New Roman"/>
          <w:spacing w:val="1"/>
          <w:w w:val="99"/>
          <w:sz w:val="21"/>
        </w:rPr>
        <w:t>10</w:t>
      </w:r>
      <w:r>
        <w:rPr>
          <w:rFonts w:ascii="Times New Roman" w:eastAsia="Times New Roman"/>
          <w:w w:val="99"/>
          <w:sz w:val="21"/>
        </w:rPr>
        <w:t>.</w:t>
      </w:r>
      <w:r>
        <w:rPr>
          <w:rFonts w:ascii="Times New Roman" w:eastAsia="Times New Roman"/>
          <w:spacing w:val="-2"/>
          <w:w w:val="99"/>
          <w:sz w:val="21"/>
        </w:rPr>
        <w:t>2</w:t>
      </w:r>
      <w:r>
        <w:rPr>
          <w:spacing w:val="-104"/>
          <w:w w:val="99"/>
          <w:sz w:val="21"/>
        </w:rPr>
        <w:t>）</w:t>
      </w:r>
      <w:r>
        <w:rPr>
          <w:w w:val="99"/>
          <w:sz w:val="21"/>
        </w:rPr>
        <w:t>；</w:t>
      </w:r>
    </w:p>
    <w:p>
      <w:pPr>
        <w:pStyle w:val="ListParagraph"/>
        <w:numPr>
          <w:ilvl w:val="0"/>
          <w:numId w:val="41"/>
        </w:numPr>
        <w:tabs>
          <w:tab w:pos="1107" w:val="left" w:leader="none"/>
        </w:tabs>
        <w:spacing w:line="240" w:lineRule="auto" w:before="43" w:after="0"/>
        <w:ind w:left="1106" w:right="0" w:hanging="409"/>
        <w:jc w:val="left"/>
        <w:rPr>
          <w:sz w:val="21"/>
        </w:rPr>
      </w:pPr>
      <w:r>
        <w:rPr>
          <w:sz w:val="21"/>
        </w:rPr>
        <w:t>保持对其关于法律法规要求和其他要求的合规状况的认识和理解；</w:t>
      </w:r>
    </w:p>
    <w:p>
      <w:pPr>
        <w:pStyle w:val="ListParagraph"/>
        <w:numPr>
          <w:ilvl w:val="0"/>
          <w:numId w:val="41"/>
        </w:numPr>
        <w:tabs>
          <w:tab w:pos="1119" w:val="left" w:leader="none"/>
        </w:tabs>
        <w:spacing w:line="240" w:lineRule="auto" w:before="43" w:after="0"/>
        <w:ind w:left="1118" w:right="0" w:hanging="421"/>
        <w:jc w:val="left"/>
        <w:rPr>
          <w:sz w:val="21"/>
        </w:rPr>
      </w:pPr>
      <w:r>
        <w:rPr>
          <w:sz w:val="21"/>
        </w:rPr>
        <w:t>保留合规性评价结果的文件化信息。</w:t>
      </w:r>
    </w:p>
    <w:p>
      <w:pPr>
        <w:pStyle w:val="ListParagraph"/>
        <w:numPr>
          <w:ilvl w:val="1"/>
          <w:numId w:val="11"/>
        </w:numPr>
        <w:tabs>
          <w:tab w:pos="803" w:val="left" w:leader="none"/>
          <w:tab w:pos="804" w:val="left" w:leader="none"/>
        </w:tabs>
        <w:spacing w:line="240" w:lineRule="auto" w:before="43" w:after="0"/>
        <w:ind w:left="804" w:right="0" w:hanging="526"/>
        <w:jc w:val="left"/>
        <w:rPr>
          <w:rFonts w:ascii="黑体" w:eastAsia="黑体" w:hint="eastAsia"/>
          <w:sz w:val="21"/>
        </w:rPr>
      </w:pPr>
      <w:bookmarkStart w:name="9.2　内部审核 " w:id="150"/>
      <w:bookmarkEnd w:id="150"/>
      <w:r>
        <w:rPr/>
      </w:r>
      <w:bookmarkStart w:name="_bookmark48" w:id="151"/>
      <w:bookmarkEnd w:id="151"/>
      <w:r>
        <w:rPr>
          <w:rFonts w:ascii="黑体" w:eastAsia="黑体" w:hint="eastAsia"/>
          <w:w w:val="95"/>
          <w:sz w:val="21"/>
        </w:rPr>
        <w:t>内部审核</w:t>
      </w:r>
    </w:p>
    <w:p>
      <w:pPr>
        <w:pStyle w:val="ListParagraph"/>
        <w:numPr>
          <w:ilvl w:val="2"/>
          <w:numId w:val="42"/>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9.2.1　总则" w:id="152"/>
      <w:bookmarkEnd w:id="152"/>
      <w:r>
        <w:rPr/>
      </w:r>
      <w:bookmarkStart w:name="_bookmark49" w:id="153"/>
      <w:bookmarkEnd w:id="153"/>
      <w:r>
        <w:rPr>
          <w:rFonts w:ascii="黑体" w:eastAsia="黑体" w:hint="eastAsia"/>
          <w:spacing w:val="-1"/>
          <w:w w:val="95"/>
          <w:sz w:val="21"/>
        </w:rPr>
        <w:t>总则</w:t>
      </w:r>
    </w:p>
    <w:p>
      <w:pPr>
        <w:pStyle w:val="BodyText"/>
        <w:ind w:left="698"/>
      </w:pPr>
      <w:r>
        <w:rPr/>
        <w:t>组织应按策划的时间间隔实施内部审核，以提供下列信息：</w:t>
      </w:r>
    </w:p>
    <w:p>
      <w:pPr>
        <w:pStyle w:val="ListParagraph"/>
        <w:numPr>
          <w:ilvl w:val="3"/>
          <w:numId w:val="42"/>
        </w:numPr>
        <w:tabs>
          <w:tab w:pos="1107" w:val="left" w:leader="none"/>
        </w:tabs>
        <w:spacing w:line="240" w:lineRule="auto" w:before="43" w:after="0"/>
        <w:ind w:left="1106" w:right="0" w:hanging="409"/>
        <w:jc w:val="left"/>
        <w:rPr>
          <w:sz w:val="21"/>
        </w:rPr>
      </w:pPr>
      <w:r>
        <w:rPr>
          <w:sz w:val="21"/>
        </w:rPr>
        <w:t>职业健康安全管理体系是否符合：</w:t>
      </w:r>
    </w:p>
    <w:p>
      <w:pPr>
        <w:pStyle w:val="ListParagraph"/>
        <w:numPr>
          <w:ilvl w:val="4"/>
          <w:numId w:val="42"/>
        </w:numPr>
        <w:tabs>
          <w:tab w:pos="1548" w:val="left" w:leader="none"/>
        </w:tabs>
        <w:spacing w:line="240" w:lineRule="auto" w:before="43" w:after="0"/>
        <w:ind w:left="1548" w:right="0" w:hanging="420"/>
        <w:jc w:val="left"/>
        <w:rPr>
          <w:sz w:val="21"/>
        </w:rPr>
      </w:pPr>
      <w:r>
        <w:rPr>
          <w:sz w:val="21"/>
        </w:rPr>
        <w:t>组织自身的职业健康安全管理体系要求，包括职业健康安全方针和职业健康安全目标；</w:t>
      </w:r>
    </w:p>
    <w:p>
      <w:pPr>
        <w:pStyle w:val="ListParagraph"/>
        <w:numPr>
          <w:ilvl w:val="4"/>
          <w:numId w:val="42"/>
        </w:numPr>
        <w:tabs>
          <w:tab w:pos="1548" w:val="left" w:leader="none"/>
        </w:tabs>
        <w:spacing w:line="240" w:lineRule="auto" w:before="43" w:after="0"/>
        <w:ind w:left="1548" w:right="0" w:hanging="420"/>
        <w:jc w:val="left"/>
        <w:rPr>
          <w:sz w:val="21"/>
        </w:rPr>
      </w:pPr>
      <w:r>
        <w:rPr>
          <w:sz w:val="21"/>
        </w:rPr>
        <w:t>本标准的要求；</w:t>
      </w:r>
    </w:p>
    <w:p>
      <w:pPr>
        <w:pStyle w:val="ListParagraph"/>
        <w:numPr>
          <w:ilvl w:val="3"/>
          <w:numId w:val="42"/>
        </w:numPr>
        <w:tabs>
          <w:tab w:pos="1119" w:val="left" w:leader="none"/>
        </w:tabs>
        <w:spacing w:line="240" w:lineRule="auto" w:before="43" w:after="0"/>
        <w:ind w:left="1118" w:right="0" w:hanging="421"/>
        <w:jc w:val="left"/>
        <w:rPr>
          <w:sz w:val="21"/>
        </w:rPr>
      </w:pPr>
      <w:r>
        <w:rPr>
          <w:sz w:val="21"/>
        </w:rPr>
        <w:t>职业健康安全管理体系是否得到有效实施和保持。</w:t>
      </w:r>
    </w:p>
    <w:p>
      <w:pPr>
        <w:pStyle w:val="ListParagraph"/>
        <w:numPr>
          <w:ilvl w:val="2"/>
          <w:numId w:val="42"/>
        </w:numPr>
        <w:tabs>
          <w:tab w:pos="1010" w:val="left" w:leader="none"/>
          <w:tab w:pos="1011" w:val="left" w:leader="none"/>
        </w:tabs>
        <w:spacing w:line="240" w:lineRule="auto" w:before="43" w:after="0"/>
        <w:ind w:left="1010" w:right="0" w:hanging="736"/>
        <w:jc w:val="left"/>
        <w:rPr>
          <w:rFonts w:ascii="黑体" w:eastAsia="黑体" w:hint="eastAsia"/>
          <w:sz w:val="21"/>
        </w:rPr>
      </w:pPr>
      <w:bookmarkStart w:name="9.2.2　内部审核方案" w:id="154"/>
      <w:bookmarkEnd w:id="154"/>
      <w:r>
        <w:rPr/>
      </w:r>
      <w:bookmarkStart w:name="_bookmark50" w:id="155"/>
      <w:bookmarkEnd w:id="155"/>
      <w:r>
        <w:rPr>
          <w:rFonts w:ascii="黑体" w:eastAsia="黑体" w:hint="eastAsia"/>
          <w:sz w:val="21"/>
        </w:rPr>
        <w:t>内部审核方案</w:t>
      </w:r>
    </w:p>
    <w:p>
      <w:pPr>
        <w:pStyle w:val="BodyText"/>
        <w:spacing w:before="42"/>
        <w:ind w:left="698"/>
      </w:pPr>
      <w:r>
        <w:rPr/>
        <w:t>组织应：</w:t>
      </w:r>
    </w:p>
    <w:p>
      <w:pPr>
        <w:pStyle w:val="ListParagraph"/>
        <w:numPr>
          <w:ilvl w:val="0"/>
          <w:numId w:val="43"/>
        </w:numPr>
        <w:tabs>
          <w:tab w:pos="1107" w:val="left" w:leader="none"/>
        </w:tabs>
        <w:spacing w:line="278" w:lineRule="auto" w:before="43" w:after="0"/>
        <w:ind w:left="1128" w:right="506" w:hanging="430"/>
        <w:jc w:val="left"/>
        <w:rPr>
          <w:sz w:val="21"/>
        </w:rPr>
      </w:pPr>
      <w:r>
        <w:rPr>
          <w:sz w:val="21"/>
        </w:rPr>
        <w:t>在考虑相关过程的重要性和以往审核结果的情况下，策划、建立、实施和保持包含频次、方法、职责、协商、策划要求和报告的审核方案；</w:t>
      </w:r>
    </w:p>
    <w:p>
      <w:pPr>
        <w:pStyle w:val="ListParagraph"/>
        <w:numPr>
          <w:ilvl w:val="0"/>
          <w:numId w:val="43"/>
        </w:numPr>
        <w:tabs>
          <w:tab w:pos="1119" w:val="left" w:leader="none"/>
        </w:tabs>
        <w:spacing w:line="269" w:lineRule="exact" w:before="0" w:after="0"/>
        <w:ind w:left="1118" w:right="0" w:hanging="421"/>
        <w:jc w:val="left"/>
        <w:rPr>
          <w:sz w:val="21"/>
        </w:rPr>
      </w:pPr>
      <w:r>
        <w:rPr>
          <w:sz w:val="21"/>
        </w:rPr>
        <w:t>规定每次审核的审核准则和范围；</w:t>
      </w:r>
    </w:p>
    <w:p>
      <w:pPr>
        <w:pStyle w:val="ListParagraph"/>
        <w:numPr>
          <w:ilvl w:val="0"/>
          <w:numId w:val="43"/>
        </w:numPr>
        <w:tabs>
          <w:tab w:pos="1107" w:val="left" w:leader="none"/>
        </w:tabs>
        <w:spacing w:line="240" w:lineRule="auto" w:before="43" w:after="0"/>
        <w:ind w:left="1106" w:right="0" w:hanging="409"/>
        <w:jc w:val="left"/>
        <w:rPr>
          <w:sz w:val="21"/>
        </w:rPr>
      </w:pPr>
      <w:r>
        <w:rPr>
          <w:sz w:val="21"/>
        </w:rPr>
        <w:t>选择审核员并实施审核，以确保审核过程的客观性和公正性；</w:t>
      </w:r>
    </w:p>
    <w:p>
      <w:pPr>
        <w:pStyle w:val="ListParagraph"/>
        <w:numPr>
          <w:ilvl w:val="0"/>
          <w:numId w:val="43"/>
        </w:numPr>
        <w:tabs>
          <w:tab w:pos="1119" w:val="left" w:leader="none"/>
        </w:tabs>
        <w:spacing w:line="278" w:lineRule="auto" w:before="43" w:after="0"/>
        <w:ind w:left="1128" w:right="508" w:hanging="430"/>
        <w:jc w:val="left"/>
        <w:rPr>
          <w:sz w:val="21"/>
        </w:rPr>
      </w:pPr>
      <w:r>
        <w:rPr>
          <w:w w:val="95"/>
          <w:sz w:val="21"/>
        </w:rPr>
        <w:t>确保向相关管理者报告审核结果；确保向工作人员及其代表（若有）以及其他有关的相关方   </w:t>
      </w:r>
      <w:r>
        <w:rPr>
          <w:sz w:val="21"/>
        </w:rPr>
        <w:t>报告相关的审核结果；</w:t>
      </w:r>
    </w:p>
    <w:p>
      <w:pPr>
        <w:pStyle w:val="ListParagraph"/>
        <w:numPr>
          <w:ilvl w:val="0"/>
          <w:numId w:val="43"/>
        </w:numPr>
        <w:tabs>
          <w:tab w:pos="1107" w:val="left" w:leader="none"/>
        </w:tabs>
        <w:spacing w:line="269" w:lineRule="exact" w:before="0" w:after="0"/>
        <w:ind w:left="1106" w:right="0" w:hanging="409"/>
        <w:jc w:val="left"/>
        <w:rPr>
          <w:sz w:val="21"/>
        </w:rPr>
      </w:pPr>
      <w:r>
        <w:rPr>
          <w:spacing w:val="-1"/>
          <w:w w:val="99"/>
          <w:sz w:val="21"/>
        </w:rPr>
        <w:t>采取措施，以应对不符合和持续改进其职业健康安全绩效</w:t>
      </w:r>
      <w:r>
        <w:rPr>
          <w:spacing w:val="2"/>
          <w:w w:val="99"/>
          <w:sz w:val="21"/>
        </w:rPr>
        <w:t>（</w:t>
      </w:r>
      <w:r>
        <w:rPr>
          <w:spacing w:val="-1"/>
          <w:w w:val="99"/>
          <w:sz w:val="21"/>
        </w:rPr>
        <w:t>见第</w:t>
      </w:r>
      <w:r>
        <w:rPr>
          <w:spacing w:val="-53"/>
          <w:sz w:val="21"/>
        </w:rPr>
        <w:t> </w:t>
      </w:r>
      <w:r>
        <w:rPr>
          <w:rFonts w:ascii="Times New Roman" w:eastAsia="Times New Roman"/>
          <w:spacing w:val="1"/>
          <w:w w:val="99"/>
          <w:sz w:val="21"/>
        </w:rPr>
        <w:t>1</w:t>
      </w:r>
      <w:r>
        <w:rPr>
          <w:rFonts w:ascii="Times New Roman" w:eastAsia="Times New Roman"/>
          <w:w w:val="99"/>
          <w:sz w:val="21"/>
        </w:rPr>
        <w:t>0</w:t>
      </w:r>
      <w:r>
        <w:rPr>
          <w:rFonts w:ascii="Times New Roman" w:eastAsia="Times New Roman"/>
          <w:spacing w:val="1"/>
          <w:sz w:val="21"/>
        </w:rPr>
        <w:t> </w:t>
      </w:r>
      <w:r>
        <w:rPr>
          <w:spacing w:val="2"/>
          <w:w w:val="99"/>
          <w:sz w:val="21"/>
        </w:rPr>
        <w:t>章</w:t>
      </w:r>
      <w:r>
        <w:rPr>
          <w:spacing w:val="-106"/>
          <w:w w:val="99"/>
          <w:sz w:val="21"/>
        </w:rPr>
        <w:t>）</w:t>
      </w:r>
      <w:r>
        <w:rPr>
          <w:w w:val="99"/>
          <w:sz w:val="21"/>
        </w:rPr>
        <w:t>；</w:t>
      </w:r>
    </w:p>
    <w:p>
      <w:pPr>
        <w:pStyle w:val="ListParagraph"/>
        <w:numPr>
          <w:ilvl w:val="0"/>
          <w:numId w:val="43"/>
        </w:numPr>
        <w:tabs>
          <w:tab w:pos="1083" w:val="left" w:leader="none"/>
        </w:tabs>
        <w:spacing w:line="240" w:lineRule="auto" w:before="43" w:after="0"/>
        <w:ind w:left="1082" w:right="0" w:hanging="385"/>
        <w:jc w:val="left"/>
        <w:rPr>
          <w:sz w:val="21"/>
        </w:rPr>
      </w:pPr>
      <w:r>
        <w:rPr>
          <w:sz w:val="21"/>
        </w:rPr>
        <w:t>保留文件化信息，作为审核方案实施和审核结果的证据。</w:t>
      </w:r>
    </w:p>
    <w:p>
      <w:pPr>
        <w:spacing w:before="64"/>
        <w:ind w:left="700" w:right="0" w:firstLine="0"/>
        <w:jc w:val="left"/>
        <w:rPr>
          <w:sz w:val="18"/>
        </w:rPr>
      </w:pPr>
      <w:r>
        <w:rPr>
          <w:sz w:val="18"/>
        </w:rPr>
        <w:t>注：有关审核和审核员能力的更多信息参见GB/T 19011。</w:t>
      </w:r>
    </w:p>
    <w:p>
      <w:pPr>
        <w:pStyle w:val="ListParagraph"/>
        <w:numPr>
          <w:ilvl w:val="1"/>
          <w:numId w:val="11"/>
        </w:numPr>
        <w:tabs>
          <w:tab w:pos="803" w:val="left" w:leader="none"/>
          <w:tab w:pos="804" w:val="left" w:leader="none"/>
        </w:tabs>
        <w:spacing w:line="240" w:lineRule="auto" w:before="61" w:after="0"/>
        <w:ind w:left="804" w:right="0" w:hanging="526"/>
        <w:jc w:val="left"/>
        <w:rPr>
          <w:rFonts w:ascii="黑体" w:eastAsia="黑体" w:hint="eastAsia"/>
          <w:sz w:val="21"/>
        </w:rPr>
      </w:pPr>
      <w:bookmarkStart w:name="9.3　管理评审" w:id="156"/>
      <w:bookmarkEnd w:id="156"/>
      <w:r>
        <w:rPr/>
      </w:r>
      <w:bookmarkStart w:name="_bookmark51" w:id="157"/>
      <w:bookmarkEnd w:id="157"/>
      <w:r>
        <w:rPr>
          <w:rFonts w:ascii="黑体" w:eastAsia="黑体" w:hint="eastAsia"/>
          <w:sz w:val="21"/>
        </w:rPr>
        <w:t>管理评审</w:t>
      </w:r>
    </w:p>
    <w:p>
      <w:pPr>
        <w:pStyle w:val="BodyText"/>
        <w:spacing w:line="278" w:lineRule="auto" w:before="42"/>
        <w:ind w:left="278" w:right="506" w:firstLine="420"/>
      </w:pPr>
      <w:r>
        <w:rPr>
          <w:w w:val="95"/>
        </w:rPr>
        <w:t>最高管理者应按策划的时间间隔对组织的职业健康安全管理体系进行评审，以确保其持续的适宜   </w:t>
      </w:r>
      <w:r>
        <w:rPr/>
        <w:t>性、充分性和有效性。</w:t>
      </w:r>
    </w:p>
    <w:p>
      <w:pPr>
        <w:pStyle w:val="BodyText"/>
        <w:spacing w:line="269" w:lineRule="exact" w:before="0"/>
        <w:ind w:left="698"/>
      </w:pPr>
      <w:r>
        <w:rPr/>
        <w:t>管理评审应包括对下列事项的考虑：</w:t>
      </w:r>
    </w:p>
    <w:p>
      <w:pPr>
        <w:pStyle w:val="ListParagraph"/>
        <w:numPr>
          <w:ilvl w:val="0"/>
          <w:numId w:val="44"/>
        </w:numPr>
        <w:tabs>
          <w:tab w:pos="1107" w:val="left" w:leader="none"/>
        </w:tabs>
        <w:spacing w:line="240" w:lineRule="auto" w:before="43" w:after="0"/>
        <w:ind w:left="1106" w:right="0" w:hanging="409"/>
        <w:jc w:val="left"/>
        <w:rPr>
          <w:sz w:val="21"/>
        </w:rPr>
      </w:pPr>
      <w:r>
        <w:rPr>
          <w:sz w:val="21"/>
        </w:rPr>
        <w:t>以往管理评审所采取措施的状况；</w:t>
      </w:r>
    </w:p>
    <w:p>
      <w:pPr>
        <w:pStyle w:val="ListParagraph"/>
        <w:numPr>
          <w:ilvl w:val="0"/>
          <w:numId w:val="44"/>
        </w:numPr>
        <w:tabs>
          <w:tab w:pos="1119" w:val="left" w:leader="none"/>
        </w:tabs>
        <w:spacing w:line="240" w:lineRule="auto" w:before="43" w:after="0"/>
        <w:ind w:left="1118" w:right="0" w:hanging="421"/>
        <w:jc w:val="left"/>
        <w:rPr>
          <w:sz w:val="21"/>
        </w:rPr>
      </w:pPr>
      <w:r>
        <w:rPr>
          <w:sz w:val="21"/>
        </w:rPr>
        <w:t>与职业健康安全管理体系相关的内部和外部议题的变化，包括：</w:t>
      </w:r>
    </w:p>
    <w:p>
      <w:pPr>
        <w:pStyle w:val="ListParagraph"/>
        <w:numPr>
          <w:ilvl w:val="1"/>
          <w:numId w:val="44"/>
        </w:numPr>
        <w:tabs>
          <w:tab w:pos="1548" w:val="left" w:leader="none"/>
        </w:tabs>
        <w:spacing w:line="240" w:lineRule="auto" w:before="43" w:after="0"/>
        <w:ind w:left="1548" w:right="0" w:hanging="420"/>
        <w:jc w:val="left"/>
        <w:rPr>
          <w:sz w:val="21"/>
        </w:rPr>
      </w:pPr>
      <w:r>
        <w:rPr>
          <w:sz w:val="21"/>
        </w:rPr>
        <w:t>相关方的需求和期望；</w:t>
      </w:r>
    </w:p>
    <w:p>
      <w:pPr>
        <w:pStyle w:val="ListParagraph"/>
        <w:numPr>
          <w:ilvl w:val="1"/>
          <w:numId w:val="44"/>
        </w:numPr>
        <w:tabs>
          <w:tab w:pos="1548" w:val="left" w:leader="none"/>
        </w:tabs>
        <w:spacing w:line="240" w:lineRule="auto" w:before="43" w:after="0"/>
        <w:ind w:left="1548" w:right="0" w:hanging="420"/>
        <w:jc w:val="left"/>
        <w:rPr>
          <w:sz w:val="21"/>
        </w:rPr>
      </w:pPr>
      <w:r>
        <w:rPr>
          <w:sz w:val="21"/>
        </w:rPr>
        <w:t>法律法规要求和其他要求；</w:t>
      </w:r>
    </w:p>
    <w:p>
      <w:pPr>
        <w:pStyle w:val="ListParagraph"/>
        <w:numPr>
          <w:ilvl w:val="1"/>
          <w:numId w:val="44"/>
        </w:numPr>
        <w:tabs>
          <w:tab w:pos="1548" w:val="left" w:leader="none"/>
        </w:tabs>
        <w:spacing w:line="240" w:lineRule="auto" w:before="43" w:after="0"/>
        <w:ind w:left="1548" w:right="0" w:hanging="420"/>
        <w:jc w:val="left"/>
        <w:rPr>
          <w:sz w:val="21"/>
        </w:rPr>
      </w:pPr>
      <w:r>
        <w:rPr>
          <w:sz w:val="21"/>
        </w:rPr>
        <w:t>风险和机遇；</w:t>
      </w:r>
    </w:p>
    <w:p>
      <w:pPr>
        <w:pStyle w:val="ListParagraph"/>
        <w:numPr>
          <w:ilvl w:val="0"/>
          <w:numId w:val="44"/>
        </w:numPr>
        <w:tabs>
          <w:tab w:pos="1107" w:val="left" w:leader="none"/>
        </w:tabs>
        <w:spacing w:line="240" w:lineRule="auto" w:before="43" w:after="0"/>
        <w:ind w:left="1106" w:right="0" w:hanging="409"/>
        <w:jc w:val="left"/>
        <w:rPr>
          <w:sz w:val="21"/>
        </w:rPr>
      </w:pPr>
      <w:r>
        <w:rPr>
          <w:sz w:val="21"/>
        </w:rPr>
        <w:t>职业健康安全方针和职业健康安全目标的实现程度；</w:t>
      </w:r>
    </w:p>
    <w:p>
      <w:pPr>
        <w:pStyle w:val="ListParagraph"/>
        <w:numPr>
          <w:ilvl w:val="0"/>
          <w:numId w:val="44"/>
        </w:numPr>
        <w:tabs>
          <w:tab w:pos="1014" w:val="left" w:leader="none"/>
        </w:tabs>
        <w:spacing w:line="278" w:lineRule="auto" w:before="43" w:after="0"/>
        <w:ind w:left="1128" w:right="3972" w:hanging="430"/>
        <w:jc w:val="left"/>
        <w:rPr>
          <w:sz w:val="21"/>
        </w:rPr>
      </w:pPr>
      <w:r>
        <w:rPr>
          <w:w w:val="95"/>
          <w:sz w:val="21"/>
        </w:rPr>
        <w:t>职业健康安全绩效方面的信息，包括以下方面的趋势： </w:t>
      </w:r>
      <w:r>
        <w:rPr>
          <w:rFonts w:ascii="Times New Roman" w:eastAsia="Times New Roman"/>
          <w:sz w:val="21"/>
        </w:rPr>
        <w:t>1</w:t>
      </w:r>
      <w:r>
        <w:rPr>
          <w:sz w:val="21"/>
        </w:rPr>
        <w:t>）</w:t>
      </w:r>
      <w:r>
        <w:rPr>
          <w:spacing w:val="-1"/>
          <w:sz w:val="21"/>
        </w:rPr>
        <w:t> 事件、不符合、纠正措施和持续改进；</w:t>
      </w:r>
    </w:p>
    <w:p>
      <w:pPr>
        <w:spacing w:after="0" w:line="278" w:lineRule="auto"/>
        <w:jc w:val="left"/>
        <w:rPr>
          <w:sz w:val="21"/>
        </w:rPr>
        <w:sectPr>
          <w:pgSz w:w="11910" w:h="16840"/>
          <w:pgMar w:header="1442" w:footer="850" w:top="1660" w:bottom="1040" w:left="1140" w:right="740"/>
        </w:sectPr>
      </w:pPr>
    </w:p>
    <w:p>
      <w:pPr>
        <w:pStyle w:val="ListParagraph"/>
        <w:numPr>
          <w:ilvl w:val="0"/>
          <w:numId w:val="45"/>
        </w:numPr>
        <w:tabs>
          <w:tab w:pos="1548" w:val="left" w:leader="none"/>
        </w:tabs>
        <w:spacing w:line="240" w:lineRule="auto" w:before="157" w:after="0"/>
        <w:ind w:left="1548" w:right="0" w:hanging="420"/>
        <w:jc w:val="left"/>
        <w:rPr>
          <w:sz w:val="21"/>
        </w:rPr>
      </w:pPr>
      <w:r>
        <w:rPr>
          <w:sz w:val="21"/>
        </w:rPr>
        <w:t>监视和测量的结果；</w:t>
      </w:r>
    </w:p>
    <w:p>
      <w:pPr>
        <w:pStyle w:val="ListParagraph"/>
        <w:numPr>
          <w:ilvl w:val="0"/>
          <w:numId w:val="45"/>
        </w:numPr>
        <w:tabs>
          <w:tab w:pos="1548" w:val="left" w:leader="none"/>
        </w:tabs>
        <w:spacing w:line="240" w:lineRule="auto" w:before="43" w:after="0"/>
        <w:ind w:left="1548" w:right="0" w:hanging="420"/>
        <w:jc w:val="left"/>
        <w:rPr>
          <w:sz w:val="21"/>
        </w:rPr>
      </w:pPr>
      <w:r>
        <w:rPr>
          <w:sz w:val="21"/>
        </w:rPr>
        <w:t>对法律法规要求和其他要求的合规性评价的结果；</w:t>
      </w:r>
    </w:p>
    <w:p>
      <w:pPr>
        <w:pStyle w:val="ListParagraph"/>
        <w:numPr>
          <w:ilvl w:val="0"/>
          <w:numId w:val="45"/>
        </w:numPr>
        <w:tabs>
          <w:tab w:pos="1548" w:val="left" w:leader="none"/>
        </w:tabs>
        <w:spacing w:line="240" w:lineRule="auto" w:before="43" w:after="0"/>
        <w:ind w:left="1548" w:right="0" w:hanging="420"/>
        <w:jc w:val="left"/>
        <w:rPr>
          <w:sz w:val="21"/>
        </w:rPr>
      </w:pPr>
      <w:r>
        <w:rPr>
          <w:sz w:val="21"/>
        </w:rPr>
        <w:t>审核结果；</w:t>
      </w:r>
    </w:p>
    <w:p>
      <w:pPr>
        <w:pStyle w:val="ListParagraph"/>
        <w:numPr>
          <w:ilvl w:val="0"/>
          <w:numId w:val="45"/>
        </w:numPr>
        <w:tabs>
          <w:tab w:pos="1548" w:val="left" w:leader="none"/>
        </w:tabs>
        <w:spacing w:line="240" w:lineRule="auto" w:before="43" w:after="0"/>
        <w:ind w:left="1548" w:right="0" w:hanging="420"/>
        <w:jc w:val="left"/>
        <w:rPr>
          <w:sz w:val="21"/>
        </w:rPr>
      </w:pPr>
      <w:r>
        <w:rPr>
          <w:sz w:val="21"/>
        </w:rPr>
        <w:t>工作人员的协商和参与；</w:t>
      </w:r>
    </w:p>
    <w:p>
      <w:pPr>
        <w:pStyle w:val="ListParagraph"/>
        <w:numPr>
          <w:ilvl w:val="0"/>
          <w:numId w:val="45"/>
        </w:numPr>
        <w:tabs>
          <w:tab w:pos="1548" w:val="left" w:leader="none"/>
        </w:tabs>
        <w:spacing w:line="240" w:lineRule="auto" w:before="43" w:after="0"/>
        <w:ind w:left="1548" w:right="0" w:hanging="420"/>
        <w:jc w:val="left"/>
        <w:rPr>
          <w:sz w:val="21"/>
        </w:rPr>
      </w:pPr>
      <w:r>
        <w:rPr>
          <w:sz w:val="21"/>
        </w:rPr>
        <w:t>风险和机遇；</w:t>
      </w:r>
    </w:p>
    <w:p>
      <w:pPr>
        <w:pStyle w:val="ListParagraph"/>
        <w:numPr>
          <w:ilvl w:val="0"/>
          <w:numId w:val="44"/>
        </w:numPr>
        <w:tabs>
          <w:tab w:pos="1107" w:val="left" w:leader="none"/>
        </w:tabs>
        <w:spacing w:line="240" w:lineRule="auto" w:before="43" w:after="0"/>
        <w:ind w:left="1106" w:right="0" w:hanging="409"/>
        <w:jc w:val="left"/>
        <w:rPr>
          <w:sz w:val="21"/>
        </w:rPr>
      </w:pPr>
      <w:r>
        <w:rPr>
          <w:sz w:val="21"/>
        </w:rPr>
        <w:t>保持有效的职业健康安全管理体系所需资源的充分性；</w:t>
      </w:r>
    </w:p>
    <w:p>
      <w:pPr>
        <w:pStyle w:val="ListParagraph"/>
        <w:numPr>
          <w:ilvl w:val="0"/>
          <w:numId w:val="44"/>
        </w:numPr>
        <w:tabs>
          <w:tab w:pos="1083" w:val="left" w:leader="none"/>
        </w:tabs>
        <w:spacing w:line="240" w:lineRule="auto" w:before="43" w:after="0"/>
        <w:ind w:left="1082" w:right="0" w:hanging="385"/>
        <w:jc w:val="left"/>
        <w:rPr>
          <w:sz w:val="21"/>
        </w:rPr>
      </w:pPr>
      <w:r>
        <w:rPr>
          <w:sz w:val="21"/>
        </w:rPr>
        <w:t>与相关方的有关沟通；</w:t>
      </w:r>
    </w:p>
    <w:p>
      <w:pPr>
        <w:pStyle w:val="ListParagraph"/>
        <w:numPr>
          <w:ilvl w:val="0"/>
          <w:numId w:val="44"/>
        </w:numPr>
        <w:tabs>
          <w:tab w:pos="1119" w:val="left" w:leader="none"/>
        </w:tabs>
        <w:spacing w:line="240" w:lineRule="auto" w:before="43" w:after="0"/>
        <w:ind w:left="1118" w:right="0" w:hanging="421"/>
        <w:jc w:val="left"/>
        <w:rPr>
          <w:sz w:val="21"/>
        </w:rPr>
      </w:pPr>
      <w:r>
        <w:rPr>
          <w:sz w:val="21"/>
        </w:rPr>
        <w:t>持续改进的机会。</w:t>
      </w:r>
    </w:p>
    <w:p>
      <w:pPr>
        <w:pStyle w:val="BodyText"/>
        <w:ind w:left="698"/>
      </w:pPr>
      <w:r>
        <w:rPr/>
        <w:t>管理评审的输出应包括与下列事项有关的决定：</w:t>
      </w:r>
    </w:p>
    <w:p>
      <w:pPr>
        <w:pStyle w:val="BodyText"/>
        <w:ind w:left="698"/>
      </w:pPr>
      <w:r>
        <w:rPr/>
        <w:t>——职业健康安全管理体系在实现其预期结果方面的持续适宜性、充分性和有效性；</w:t>
      </w:r>
    </w:p>
    <w:p>
      <w:pPr>
        <w:pStyle w:val="BodyText"/>
        <w:ind w:left="698"/>
      </w:pPr>
      <w:r>
        <w:rPr/>
        <w:t>——持续改进的机会；</w:t>
      </w:r>
    </w:p>
    <w:p>
      <w:pPr>
        <w:pStyle w:val="BodyText"/>
        <w:ind w:left="698"/>
      </w:pPr>
      <w:r>
        <w:rPr/>
        <w:t>——任何对职业健康安全管理体系变更的需求；</w:t>
      </w:r>
    </w:p>
    <w:p>
      <w:pPr>
        <w:pStyle w:val="BodyText"/>
        <w:ind w:left="698"/>
      </w:pPr>
      <w:r>
        <w:rPr/>
        <w:t>——所需资源；</w:t>
      </w:r>
    </w:p>
    <w:p>
      <w:pPr>
        <w:pStyle w:val="BodyText"/>
        <w:spacing w:before="42"/>
        <w:ind w:left="698"/>
      </w:pPr>
      <w:r>
        <w:rPr>
          <w:spacing w:val="-1"/>
          <w:w w:val="99"/>
        </w:rPr>
        <w:t>——措施（</w:t>
      </w:r>
      <w:r>
        <w:rPr>
          <w:w w:val="99"/>
        </w:rPr>
        <w:t>若需要</w:t>
      </w:r>
      <w:r>
        <w:rPr>
          <w:spacing w:val="-104"/>
          <w:w w:val="99"/>
        </w:rPr>
        <w:t>）</w:t>
      </w:r>
      <w:r>
        <w:rPr>
          <w:w w:val="99"/>
        </w:rPr>
        <w:t>；</w:t>
      </w:r>
    </w:p>
    <w:p>
      <w:pPr>
        <w:pStyle w:val="BodyText"/>
        <w:ind w:left="698"/>
      </w:pPr>
      <w:r>
        <w:rPr/>
        <w:t>——改进职业健康安全管理体系与其他业务过程融合的机会；</w:t>
      </w:r>
    </w:p>
    <w:p>
      <w:pPr>
        <w:pStyle w:val="BodyText"/>
        <w:ind w:left="698"/>
      </w:pPr>
      <w:r>
        <w:rPr/>
        <w:t>——对组织战略方向的任何影响。</w:t>
      </w:r>
    </w:p>
    <w:p>
      <w:pPr>
        <w:pStyle w:val="BodyText"/>
        <w:spacing w:line="278" w:lineRule="auto"/>
        <w:ind w:left="698" w:right="1348"/>
      </w:pPr>
      <w:r>
        <w:rPr>
          <w:spacing w:val="-1"/>
          <w:w w:val="99"/>
        </w:rPr>
        <w:t>最高管理者应就相关的管理评审输出与工作人员及其代表</w:t>
      </w:r>
      <w:r>
        <w:rPr>
          <w:spacing w:val="2"/>
          <w:w w:val="99"/>
        </w:rPr>
        <w:t>（</w:t>
      </w:r>
      <w:r>
        <w:rPr>
          <w:w w:val="99"/>
        </w:rPr>
        <w:t>若有</w:t>
      </w:r>
      <w:r>
        <w:rPr>
          <w:spacing w:val="-1"/>
          <w:w w:val="99"/>
        </w:rPr>
        <w:t>）进行沟通</w:t>
      </w:r>
      <w:r>
        <w:rPr>
          <w:spacing w:val="2"/>
          <w:w w:val="99"/>
        </w:rPr>
        <w:t>（</w:t>
      </w:r>
      <w:r>
        <w:rPr>
          <w:w w:val="99"/>
        </w:rPr>
        <w:t>见</w:t>
      </w:r>
      <w:r>
        <w:rPr>
          <w:spacing w:val="-53"/>
        </w:rPr>
        <w:t> </w:t>
      </w:r>
      <w:r>
        <w:rPr>
          <w:rFonts w:ascii="Times New Roman" w:eastAsia="Times New Roman"/>
          <w:spacing w:val="1"/>
          <w:w w:val="99"/>
        </w:rPr>
        <w:t>7</w:t>
      </w:r>
      <w:r>
        <w:rPr>
          <w:rFonts w:ascii="Times New Roman" w:eastAsia="Times New Roman"/>
          <w:w w:val="99"/>
        </w:rPr>
        <w:t>.</w:t>
      </w:r>
      <w:r>
        <w:rPr>
          <w:rFonts w:ascii="Times New Roman" w:eastAsia="Times New Roman"/>
          <w:spacing w:val="1"/>
          <w:w w:val="99"/>
        </w:rPr>
        <w:t>4</w:t>
      </w:r>
      <w:r>
        <w:rPr>
          <w:spacing w:val="-106"/>
          <w:w w:val="99"/>
        </w:rPr>
        <w:t>）</w:t>
      </w:r>
      <w:r>
        <w:rPr>
          <w:w w:val="99"/>
        </w:rPr>
        <w:t>。</w:t>
      </w:r>
      <w:r>
        <w:rPr/>
        <w:t>组织应保留文件化信息，以作为管理评审结果的证据。</w:t>
      </w:r>
    </w:p>
    <w:p>
      <w:pPr>
        <w:pStyle w:val="ListParagraph"/>
        <w:numPr>
          <w:ilvl w:val="0"/>
          <w:numId w:val="11"/>
        </w:numPr>
        <w:tabs>
          <w:tab w:pos="698" w:val="left" w:leader="none"/>
          <w:tab w:pos="699" w:val="left" w:leader="none"/>
        </w:tabs>
        <w:spacing w:line="269" w:lineRule="exact" w:before="0" w:after="0"/>
        <w:ind w:left="698" w:right="0" w:hanging="421"/>
        <w:jc w:val="left"/>
        <w:rPr>
          <w:rFonts w:ascii="黑体" w:eastAsia="黑体" w:hint="eastAsia"/>
          <w:sz w:val="21"/>
        </w:rPr>
      </w:pPr>
      <w:bookmarkStart w:name="10　改进" w:id="158"/>
      <w:bookmarkEnd w:id="158"/>
      <w:r>
        <w:rPr/>
      </w:r>
      <w:bookmarkStart w:name="_bookmark52" w:id="159"/>
      <w:bookmarkEnd w:id="159"/>
      <w:r>
        <w:rPr>
          <w:rFonts w:ascii="黑体" w:eastAsia="黑体" w:hint="eastAsia"/>
          <w:sz w:val="21"/>
        </w:rPr>
        <w:t>改进</w:t>
      </w:r>
    </w:p>
    <w:p>
      <w:pPr>
        <w:pStyle w:val="ListParagraph"/>
        <w:numPr>
          <w:ilvl w:val="1"/>
          <w:numId w:val="11"/>
        </w:numPr>
        <w:tabs>
          <w:tab w:pos="907" w:val="left" w:leader="none"/>
          <w:tab w:pos="908" w:val="left" w:leader="none"/>
        </w:tabs>
        <w:spacing w:line="240" w:lineRule="auto" w:before="43" w:after="0"/>
        <w:ind w:left="907" w:right="0" w:hanging="630"/>
        <w:jc w:val="left"/>
        <w:rPr>
          <w:rFonts w:ascii="黑体" w:eastAsia="黑体" w:hint="eastAsia"/>
          <w:sz w:val="21"/>
        </w:rPr>
      </w:pPr>
      <w:bookmarkStart w:name="10.1　总则" w:id="160"/>
      <w:bookmarkEnd w:id="160"/>
      <w:r>
        <w:rPr/>
      </w:r>
      <w:bookmarkStart w:name="_bookmark53" w:id="161"/>
      <w:bookmarkEnd w:id="161"/>
      <w:r>
        <w:rPr>
          <w:rFonts w:ascii="黑体" w:eastAsia="黑体" w:hint="eastAsia"/>
          <w:sz w:val="21"/>
        </w:rPr>
        <w:t>总则</w:t>
      </w:r>
    </w:p>
    <w:p>
      <w:pPr>
        <w:pStyle w:val="BodyText"/>
        <w:spacing w:line="278" w:lineRule="auto"/>
        <w:ind w:left="278" w:right="506" w:firstLine="420"/>
      </w:pPr>
      <w:r>
        <w:rPr>
          <w:spacing w:val="-4"/>
        </w:rPr>
        <w:t>组织应确定改进的机会</w:t>
      </w:r>
      <w:r>
        <w:rPr/>
        <w:t>（</w:t>
      </w:r>
      <w:r>
        <w:rPr>
          <w:spacing w:val="-21"/>
        </w:rPr>
        <w:t>见第 </w:t>
      </w:r>
      <w:r>
        <w:rPr>
          <w:rFonts w:ascii="Times New Roman" w:eastAsia="Times New Roman"/>
        </w:rPr>
        <w:t>9 </w:t>
      </w:r>
      <w:r>
        <w:rPr/>
        <w:t>章</w:t>
      </w:r>
      <w:r>
        <w:rPr>
          <w:spacing w:val="-69"/>
        </w:rPr>
        <w:t>）</w:t>
      </w:r>
      <w:r>
        <w:rPr>
          <w:spacing w:val="-11"/>
        </w:rPr>
        <w:t>，并实施必要的措施，以实现其职业健康安全管理体系的预期结果。</w:t>
      </w:r>
    </w:p>
    <w:p>
      <w:pPr>
        <w:pStyle w:val="ListParagraph"/>
        <w:numPr>
          <w:ilvl w:val="1"/>
          <w:numId w:val="11"/>
        </w:numPr>
        <w:tabs>
          <w:tab w:pos="907" w:val="left" w:leader="none"/>
          <w:tab w:pos="908" w:val="left" w:leader="none"/>
        </w:tabs>
        <w:spacing w:line="269" w:lineRule="exact" w:before="0" w:after="0"/>
        <w:ind w:left="907" w:right="0" w:hanging="630"/>
        <w:jc w:val="left"/>
        <w:rPr>
          <w:rFonts w:ascii="黑体" w:eastAsia="黑体" w:hint="eastAsia"/>
          <w:sz w:val="21"/>
        </w:rPr>
      </w:pPr>
      <w:bookmarkStart w:name="10.2　事件、不符合和纠正措施" w:id="162"/>
      <w:bookmarkEnd w:id="162"/>
      <w:r>
        <w:rPr/>
      </w:r>
      <w:bookmarkStart w:name="_bookmark54" w:id="163"/>
      <w:bookmarkEnd w:id="163"/>
      <w:r>
        <w:rPr>
          <w:rFonts w:ascii="黑体" w:eastAsia="黑体" w:hint="eastAsia"/>
          <w:sz w:val="21"/>
        </w:rPr>
        <w:t>事件、不符合和纠正措施</w:t>
      </w:r>
    </w:p>
    <w:p>
      <w:pPr>
        <w:pStyle w:val="BodyText"/>
        <w:spacing w:line="278" w:lineRule="auto"/>
        <w:ind w:left="698" w:right="509"/>
      </w:pPr>
      <w:r>
        <w:rPr>
          <w:w w:val="95"/>
        </w:rPr>
        <w:t>组织应建立、实施和保持包括报告、调查和采取措施在内的过程，以确定和管理事件和不符合。   </w:t>
      </w:r>
      <w:r>
        <w:rPr/>
        <w:t>当事件或不符合发生时，组织应：</w:t>
      </w:r>
    </w:p>
    <w:p>
      <w:pPr>
        <w:pStyle w:val="ListParagraph"/>
        <w:numPr>
          <w:ilvl w:val="0"/>
          <w:numId w:val="46"/>
        </w:numPr>
        <w:tabs>
          <w:tab w:pos="1107" w:val="left" w:leader="none"/>
        </w:tabs>
        <w:spacing w:line="269" w:lineRule="exact" w:before="0" w:after="0"/>
        <w:ind w:left="1106" w:right="0" w:hanging="409"/>
        <w:jc w:val="left"/>
        <w:rPr>
          <w:sz w:val="21"/>
        </w:rPr>
      </w:pPr>
      <w:r>
        <w:rPr>
          <w:sz w:val="21"/>
        </w:rPr>
        <w:t>及时对事件和不符合做出反应，并在适用时：</w:t>
      </w:r>
    </w:p>
    <w:p>
      <w:pPr>
        <w:pStyle w:val="ListParagraph"/>
        <w:numPr>
          <w:ilvl w:val="1"/>
          <w:numId w:val="46"/>
        </w:numPr>
        <w:tabs>
          <w:tab w:pos="1444" w:val="left" w:leader="none"/>
        </w:tabs>
        <w:spacing w:line="240" w:lineRule="auto" w:before="43" w:after="0"/>
        <w:ind w:left="1443" w:right="0" w:hanging="316"/>
        <w:jc w:val="left"/>
        <w:rPr>
          <w:sz w:val="21"/>
        </w:rPr>
      </w:pPr>
      <w:r>
        <w:rPr>
          <w:sz w:val="21"/>
        </w:rPr>
        <w:t>采取措施予以控制和纠正；</w:t>
      </w:r>
    </w:p>
    <w:p>
      <w:pPr>
        <w:pStyle w:val="ListParagraph"/>
        <w:numPr>
          <w:ilvl w:val="1"/>
          <w:numId w:val="46"/>
        </w:numPr>
        <w:tabs>
          <w:tab w:pos="1444" w:val="left" w:leader="none"/>
        </w:tabs>
        <w:spacing w:line="240" w:lineRule="auto" w:before="43" w:after="0"/>
        <w:ind w:left="1443" w:right="0" w:hanging="316"/>
        <w:jc w:val="left"/>
        <w:rPr>
          <w:sz w:val="21"/>
        </w:rPr>
      </w:pPr>
      <w:r>
        <w:rPr>
          <w:sz w:val="21"/>
        </w:rPr>
        <w:t>处置后果；</w:t>
      </w:r>
    </w:p>
    <w:p>
      <w:pPr>
        <w:pStyle w:val="ListParagraph"/>
        <w:numPr>
          <w:ilvl w:val="0"/>
          <w:numId w:val="46"/>
        </w:numPr>
        <w:tabs>
          <w:tab w:pos="1076" w:val="left" w:leader="none"/>
        </w:tabs>
        <w:spacing w:line="278" w:lineRule="auto" w:before="43" w:after="0"/>
        <w:ind w:left="1128" w:right="400" w:hanging="430"/>
        <w:jc w:val="left"/>
        <w:rPr>
          <w:sz w:val="21"/>
        </w:rPr>
      </w:pPr>
      <w:r>
        <w:rPr>
          <w:spacing w:val="-5"/>
          <w:sz w:val="21"/>
        </w:rPr>
        <w:t>在工作人员的参与</w:t>
      </w:r>
      <w:r>
        <w:rPr>
          <w:spacing w:val="-3"/>
          <w:sz w:val="21"/>
        </w:rPr>
        <w:t>（</w:t>
      </w:r>
      <w:r>
        <w:rPr>
          <w:spacing w:val="-33"/>
          <w:sz w:val="21"/>
        </w:rPr>
        <w:t>见 </w:t>
      </w:r>
      <w:r>
        <w:rPr>
          <w:rFonts w:ascii="Times New Roman" w:eastAsia="Times New Roman"/>
          <w:spacing w:val="-11"/>
          <w:sz w:val="21"/>
        </w:rPr>
        <w:t>5.4</w:t>
      </w:r>
      <w:r>
        <w:rPr>
          <w:spacing w:val="-11"/>
          <w:sz w:val="21"/>
        </w:rPr>
        <w:t>）</w:t>
      </w:r>
      <w:r>
        <w:rPr>
          <w:spacing w:val="-7"/>
          <w:sz w:val="21"/>
        </w:rPr>
        <w:t>和其他相关方的参加下，通过下列活动，评价是否采取纠正措施， 以消除导致事件或不符合的根本原因，防止事件或不符合再次发生或在其他场合发生：</w:t>
      </w:r>
    </w:p>
    <w:p>
      <w:pPr>
        <w:pStyle w:val="ListParagraph"/>
        <w:numPr>
          <w:ilvl w:val="0"/>
          <w:numId w:val="47"/>
        </w:numPr>
        <w:tabs>
          <w:tab w:pos="1548" w:val="left" w:leader="none"/>
        </w:tabs>
        <w:spacing w:line="269" w:lineRule="exact" w:before="0" w:after="0"/>
        <w:ind w:left="1548" w:right="0" w:hanging="420"/>
        <w:jc w:val="left"/>
        <w:rPr>
          <w:sz w:val="21"/>
        </w:rPr>
      </w:pPr>
      <w:r>
        <w:rPr>
          <w:sz w:val="21"/>
        </w:rPr>
        <w:t>调查事件或评审不符合；</w:t>
      </w:r>
    </w:p>
    <w:p>
      <w:pPr>
        <w:pStyle w:val="ListParagraph"/>
        <w:numPr>
          <w:ilvl w:val="0"/>
          <w:numId w:val="47"/>
        </w:numPr>
        <w:tabs>
          <w:tab w:pos="1548" w:val="left" w:leader="none"/>
        </w:tabs>
        <w:spacing w:line="240" w:lineRule="auto" w:before="43" w:after="0"/>
        <w:ind w:left="1548" w:right="0" w:hanging="420"/>
        <w:jc w:val="left"/>
        <w:rPr>
          <w:sz w:val="21"/>
        </w:rPr>
      </w:pPr>
      <w:r>
        <w:rPr>
          <w:sz w:val="21"/>
        </w:rPr>
        <w:t>确定导致事件或不符合的原因；</w:t>
      </w:r>
    </w:p>
    <w:p>
      <w:pPr>
        <w:pStyle w:val="ListParagraph"/>
        <w:numPr>
          <w:ilvl w:val="0"/>
          <w:numId w:val="47"/>
        </w:numPr>
        <w:tabs>
          <w:tab w:pos="1551" w:val="left" w:leader="none"/>
        </w:tabs>
        <w:spacing w:line="240" w:lineRule="auto" w:before="43" w:after="0"/>
        <w:ind w:left="1550" w:right="0" w:hanging="421"/>
        <w:jc w:val="left"/>
        <w:rPr>
          <w:sz w:val="21"/>
        </w:rPr>
      </w:pPr>
      <w:r>
        <w:rPr>
          <w:sz w:val="21"/>
        </w:rPr>
        <w:t>确定类似事件是否曾经发生过，不符合是否存在，或它们是否可能会发生；</w:t>
      </w:r>
    </w:p>
    <w:p>
      <w:pPr>
        <w:pStyle w:val="ListParagraph"/>
        <w:numPr>
          <w:ilvl w:val="0"/>
          <w:numId w:val="46"/>
        </w:numPr>
        <w:tabs>
          <w:tab w:pos="1107" w:val="left" w:leader="none"/>
        </w:tabs>
        <w:spacing w:line="240" w:lineRule="auto" w:before="43" w:after="0"/>
        <w:ind w:left="1106" w:right="0" w:hanging="409"/>
        <w:jc w:val="left"/>
        <w:rPr>
          <w:sz w:val="21"/>
        </w:rPr>
      </w:pPr>
      <w:r>
        <w:rPr>
          <w:spacing w:val="-1"/>
          <w:w w:val="99"/>
          <w:sz w:val="21"/>
        </w:rPr>
        <w:t>在适当时，对现有的职业健康安全风险和其他风险的评价进行评审（</w:t>
      </w:r>
      <w:r>
        <w:rPr>
          <w:w w:val="99"/>
          <w:sz w:val="21"/>
        </w:rPr>
        <w:t>见</w:t>
      </w:r>
      <w:r>
        <w:rPr>
          <w:spacing w:val="-50"/>
          <w:sz w:val="21"/>
        </w:rPr>
        <w:t> </w:t>
      </w:r>
      <w:r>
        <w:rPr>
          <w:rFonts w:ascii="Times New Roman" w:eastAsia="Times New Roman"/>
          <w:spacing w:val="1"/>
          <w:w w:val="99"/>
          <w:sz w:val="21"/>
        </w:rPr>
        <w:t>6</w:t>
      </w:r>
      <w:r>
        <w:rPr>
          <w:rFonts w:ascii="Times New Roman" w:eastAsia="Times New Roman"/>
          <w:w w:val="99"/>
          <w:sz w:val="21"/>
        </w:rPr>
        <w:t>.</w:t>
      </w:r>
      <w:r>
        <w:rPr>
          <w:rFonts w:ascii="Times New Roman" w:eastAsia="Times New Roman"/>
          <w:spacing w:val="1"/>
          <w:w w:val="99"/>
          <w:sz w:val="21"/>
        </w:rPr>
        <w:t>1</w:t>
      </w:r>
      <w:r>
        <w:rPr>
          <w:spacing w:val="-106"/>
          <w:w w:val="99"/>
          <w:sz w:val="21"/>
        </w:rPr>
        <w:t>）</w:t>
      </w:r>
      <w:r>
        <w:rPr>
          <w:w w:val="99"/>
          <w:sz w:val="21"/>
        </w:rPr>
        <w:t>；</w:t>
      </w:r>
    </w:p>
    <w:p>
      <w:pPr>
        <w:pStyle w:val="ListParagraph"/>
        <w:numPr>
          <w:ilvl w:val="0"/>
          <w:numId w:val="46"/>
        </w:numPr>
        <w:tabs>
          <w:tab w:pos="1119" w:val="left" w:leader="none"/>
        </w:tabs>
        <w:spacing w:line="278" w:lineRule="auto" w:before="43" w:after="0"/>
        <w:ind w:left="1128" w:right="504" w:hanging="430"/>
        <w:jc w:val="left"/>
        <w:rPr>
          <w:sz w:val="21"/>
        </w:rPr>
      </w:pPr>
      <w:r>
        <w:rPr>
          <w:spacing w:val="-1"/>
          <w:w w:val="99"/>
          <w:sz w:val="21"/>
        </w:rPr>
        <w:t>按照控制层级</w:t>
      </w:r>
      <w:r>
        <w:rPr>
          <w:spacing w:val="2"/>
          <w:w w:val="99"/>
          <w:sz w:val="21"/>
        </w:rPr>
        <w:t>（</w:t>
      </w:r>
      <w:r>
        <w:rPr>
          <w:w w:val="99"/>
          <w:sz w:val="21"/>
        </w:rPr>
        <w:t>见</w:t>
      </w:r>
      <w:r>
        <w:rPr>
          <w:spacing w:val="-53"/>
          <w:sz w:val="21"/>
        </w:rPr>
        <w:t> </w:t>
      </w:r>
      <w:r>
        <w:rPr>
          <w:rFonts w:ascii="Times New Roman" w:eastAsia="Times New Roman"/>
          <w:spacing w:val="1"/>
          <w:w w:val="99"/>
          <w:sz w:val="21"/>
        </w:rPr>
        <w:t>8</w:t>
      </w:r>
      <w:r>
        <w:rPr>
          <w:rFonts w:ascii="Times New Roman" w:eastAsia="Times New Roman"/>
          <w:w w:val="99"/>
          <w:sz w:val="21"/>
        </w:rPr>
        <w:t>.</w:t>
      </w:r>
      <w:r>
        <w:rPr>
          <w:rFonts w:ascii="Times New Roman" w:eastAsia="Times New Roman"/>
          <w:spacing w:val="1"/>
          <w:w w:val="99"/>
          <w:sz w:val="21"/>
        </w:rPr>
        <w:t>1</w:t>
      </w:r>
      <w:r>
        <w:rPr>
          <w:rFonts w:ascii="Times New Roman" w:eastAsia="Times New Roman"/>
          <w:w w:val="99"/>
          <w:sz w:val="21"/>
        </w:rPr>
        <w:t>.</w:t>
      </w:r>
      <w:r>
        <w:rPr>
          <w:rFonts w:ascii="Times New Roman" w:eastAsia="Times New Roman"/>
          <w:spacing w:val="-2"/>
          <w:w w:val="99"/>
          <w:sz w:val="21"/>
        </w:rPr>
        <w:t>2</w:t>
      </w:r>
      <w:r>
        <w:rPr>
          <w:spacing w:val="-1"/>
          <w:w w:val="99"/>
          <w:sz w:val="21"/>
        </w:rPr>
        <w:t>）和变更管理（</w:t>
      </w:r>
      <w:r>
        <w:rPr>
          <w:w w:val="99"/>
          <w:sz w:val="21"/>
        </w:rPr>
        <w:t>见</w:t>
      </w:r>
      <w:r>
        <w:rPr>
          <w:spacing w:val="-50"/>
          <w:sz w:val="21"/>
        </w:rPr>
        <w:t> </w:t>
      </w:r>
      <w:r>
        <w:rPr>
          <w:rFonts w:ascii="Times New Roman" w:eastAsia="Times New Roman"/>
          <w:spacing w:val="1"/>
          <w:w w:val="99"/>
          <w:sz w:val="21"/>
        </w:rPr>
        <w:t>8</w:t>
      </w:r>
      <w:r>
        <w:rPr>
          <w:rFonts w:ascii="Times New Roman" w:eastAsia="Times New Roman"/>
          <w:w w:val="99"/>
          <w:sz w:val="21"/>
        </w:rPr>
        <w:t>.</w:t>
      </w:r>
      <w:r>
        <w:rPr>
          <w:rFonts w:ascii="Times New Roman" w:eastAsia="Times New Roman"/>
          <w:spacing w:val="1"/>
          <w:w w:val="99"/>
          <w:sz w:val="21"/>
        </w:rPr>
        <w:t>1</w:t>
      </w:r>
      <w:r>
        <w:rPr>
          <w:rFonts w:ascii="Times New Roman" w:eastAsia="Times New Roman"/>
          <w:w w:val="99"/>
          <w:sz w:val="21"/>
        </w:rPr>
        <w:t>.</w:t>
      </w:r>
      <w:r>
        <w:rPr>
          <w:rFonts w:ascii="Times New Roman" w:eastAsia="Times New Roman"/>
          <w:spacing w:val="-2"/>
          <w:w w:val="99"/>
          <w:sz w:val="21"/>
        </w:rPr>
        <w:t>3</w:t>
      </w:r>
      <w:r>
        <w:rPr>
          <w:spacing w:val="-104"/>
          <w:w w:val="99"/>
          <w:sz w:val="21"/>
        </w:rPr>
        <w:t>）</w:t>
      </w:r>
      <w:r>
        <w:rPr>
          <w:spacing w:val="-1"/>
          <w:w w:val="99"/>
          <w:sz w:val="21"/>
        </w:rPr>
        <w:t>，确定并实施任何所需的措施，包括纠正措</w:t>
      </w:r>
      <w:r>
        <w:rPr>
          <w:sz w:val="21"/>
        </w:rPr>
        <w:t>施；</w:t>
      </w:r>
    </w:p>
    <w:p>
      <w:pPr>
        <w:pStyle w:val="ListParagraph"/>
        <w:numPr>
          <w:ilvl w:val="0"/>
          <w:numId w:val="46"/>
        </w:numPr>
        <w:tabs>
          <w:tab w:pos="1107" w:val="left" w:leader="none"/>
        </w:tabs>
        <w:spacing w:line="269" w:lineRule="exact" w:before="0" w:after="0"/>
        <w:ind w:left="1106" w:right="0" w:hanging="409"/>
        <w:jc w:val="left"/>
        <w:rPr>
          <w:sz w:val="21"/>
        </w:rPr>
      </w:pPr>
      <w:r>
        <w:rPr>
          <w:sz w:val="21"/>
        </w:rPr>
        <w:t>在采取措施前，评价与新的或变化的危险源相关的职业健康安全风险；</w:t>
      </w:r>
    </w:p>
    <w:p>
      <w:pPr>
        <w:pStyle w:val="ListParagraph"/>
        <w:numPr>
          <w:ilvl w:val="0"/>
          <w:numId w:val="46"/>
        </w:numPr>
        <w:tabs>
          <w:tab w:pos="1083" w:val="left" w:leader="none"/>
        </w:tabs>
        <w:spacing w:line="240" w:lineRule="auto" w:before="43" w:after="0"/>
        <w:ind w:left="1082" w:right="0" w:hanging="385"/>
        <w:jc w:val="left"/>
        <w:rPr>
          <w:sz w:val="21"/>
        </w:rPr>
      </w:pPr>
      <w:r>
        <w:rPr>
          <w:sz w:val="21"/>
        </w:rPr>
        <w:t>评审任何所采取措施的有效性，包括纠正措施；</w:t>
      </w:r>
    </w:p>
    <w:p>
      <w:pPr>
        <w:pStyle w:val="ListParagraph"/>
        <w:numPr>
          <w:ilvl w:val="0"/>
          <w:numId w:val="46"/>
        </w:numPr>
        <w:tabs>
          <w:tab w:pos="1119" w:val="left" w:leader="none"/>
        </w:tabs>
        <w:spacing w:line="240" w:lineRule="auto" w:before="43" w:after="0"/>
        <w:ind w:left="1118" w:right="0" w:hanging="421"/>
        <w:jc w:val="left"/>
        <w:rPr>
          <w:sz w:val="21"/>
        </w:rPr>
      </w:pPr>
      <w:r>
        <w:rPr>
          <w:sz w:val="21"/>
        </w:rPr>
        <w:t>在必要时，变更职业健康安全管理体系。</w:t>
      </w:r>
    </w:p>
    <w:p>
      <w:pPr>
        <w:pStyle w:val="BodyText"/>
        <w:spacing w:line="278" w:lineRule="auto" w:before="42"/>
        <w:ind w:left="698" w:right="3657"/>
      </w:pPr>
      <w:r>
        <w:rPr>
          <w:w w:val="95"/>
        </w:rPr>
        <w:t>纠正措施应与事件或不符合所产生的影响或潜在影响相适应。 </w:t>
      </w:r>
      <w:r>
        <w:rPr/>
        <w:t>组织应保留文件化信息作为以下方面的证据：</w:t>
      </w:r>
    </w:p>
    <w:p>
      <w:pPr>
        <w:pStyle w:val="BodyText"/>
        <w:spacing w:line="269" w:lineRule="exact" w:before="0"/>
        <w:ind w:left="698"/>
      </w:pPr>
      <w:r>
        <w:rPr/>
        <w:t>——事件或不符合的性质以及所采取的任何后续措施；</w:t>
      </w:r>
    </w:p>
    <w:p>
      <w:pPr>
        <w:pStyle w:val="BodyText"/>
        <w:ind w:left="698"/>
      </w:pPr>
      <w:r>
        <w:rPr/>
        <w:t>——任何措施和纠正措施的结果，包括其有效性。</w:t>
      </w:r>
    </w:p>
    <w:p>
      <w:pPr>
        <w:pStyle w:val="BodyText"/>
        <w:ind w:left="698"/>
      </w:pPr>
      <w:r>
        <w:rPr/>
        <w:t>组织应就此文件化信息与相关工作人员及其代表（若有）和其他有关的相关方进行沟通。</w:t>
      </w:r>
    </w:p>
    <w:p>
      <w:pPr>
        <w:spacing w:after="0"/>
        <w:sectPr>
          <w:pgSz w:w="11910" w:h="16840"/>
          <w:pgMar w:header="1442" w:footer="850" w:top="1660" w:bottom="1040" w:left="1140" w:right="740"/>
        </w:sectPr>
      </w:pPr>
    </w:p>
    <w:p>
      <w:pPr>
        <w:pStyle w:val="BodyText"/>
        <w:spacing w:before="0"/>
        <w:rPr>
          <w:sz w:val="8"/>
        </w:rPr>
      </w:pPr>
    </w:p>
    <w:p>
      <w:pPr>
        <w:spacing w:before="75"/>
        <w:ind w:left="700" w:right="0" w:firstLine="0"/>
        <w:jc w:val="left"/>
        <w:rPr>
          <w:sz w:val="18"/>
        </w:rPr>
      </w:pPr>
      <w:r>
        <w:rPr>
          <w:sz w:val="18"/>
        </w:rPr>
        <w:t>注：及时报告和调查事件可有助于消除危险源和尽快降低相关职业健康安全风险。</w:t>
      </w:r>
    </w:p>
    <w:p>
      <w:pPr>
        <w:pStyle w:val="ListParagraph"/>
        <w:numPr>
          <w:ilvl w:val="1"/>
          <w:numId w:val="11"/>
        </w:numPr>
        <w:tabs>
          <w:tab w:pos="907" w:val="left" w:leader="none"/>
          <w:tab w:pos="908" w:val="left" w:leader="none"/>
        </w:tabs>
        <w:spacing w:line="240" w:lineRule="auto" w:before="61" w:after="0"/>
        <w:ind w:left="907" w:right="0" w:hanging="630"/>
        <w:jc w:val="left"/>
        <w:rPr>
          <w:rFonts w:ascii="黑体" w:eastAsia="黑体" w:hint="eastAsia"/>
          <w:sz w:val="21"/>
        </w:rPr>
      </w:pPr>
      <w:bookmarkStart w:name="10.3　持续改进 " w:id="164"/>
      <w:bookmarkEnd w:id="164"/>
      <w:r>
        <w:rPr/>
      </w:r>
      <w:bookmarkStart w:name="_bookmark55" w:id="165"/>
      <w:bookmarkEnd w:id="165"/>
      <w:r>
        <w:rPr>
          <w:rFonts w:ascii="黑体" w:eastAsia="黑体" w:hint="eastAsia"/>
          <w:sz w:val="21"/>
        </w:rPr>
        <w:t>持续改进</w:t>
      </w:r>
    </w:p>
    <w:p>
      <w:pPr>
        <w:pStyle w:val="BodyText"/>
        <w:ind w:left="698"/>
      </w:pPr>
      <w:r>
        <w:rPr/>
        <w:t>组织应通过下列方式持续改进职业健康安全管理体系的适宜性、充分性与有效性：</w:t>
      </w:r>
    </w:p>
    <w:p>
      <w:pPr>
        <w:pStyle w:val="ListParagraph"/>
        <w:numPr>
          <w:ilvl w:val="0"/>
          <w:numId w:val="48"/>
        </w:numPr>
        <w:tabs>
          <w:tab w:pos="1107" w:val="left" w:leader="none"/>
        </w:tabs>
        <w:spacing w:line="240" w:lineRule="auto" w:before="43" w:after="0"/>
        <w:ind w:left="1106" w:right="0" w:hanging="409"/>
        <w:jc w:val="left"/>
        <w:rPr>
          <w:sz w:val="21"/>
        </w:rPr>
      </w:pPr>
      <w:r>
        <w:rPr>
          <w:sz w:val="21"/>
        </w:rPr>
        <w:t>提升职业健康安全绩效；</w:t>
      </w:r>
    </w:p>
    <w:p>
      <w:pPr>
        <w:pStyle w:val="ListParagraph"/>
        <w:numPr>
          <w:ilvl w:val="0"/>
          <w:numId w:val="48"/>
        </w:numPr>
        <w:tabs>
          <w:tab w:pos="1119" w:val="left" w:leader="none"/>
        </w:tabs>
        <w:spacing w:line="240" w:lineRule="auto" w:before="43" w:after="0"/>
        <w:ind w:left="1118" w:right="0" w:hanging="421"/>
        <w:jc w:val="left"/>
        <w:rPr>
          <w:sz w:val="21"/>
        </w:rPr>
      </w:pPr>
      <w:r>
        <w:rPr>
          <w:w w:val="95"/>
          <w:sz w:val="21"/>
        </w:rPr>
        <w:t>促进支持职业健康安全管理体系的文化；</w:t>
      </w:r>
    </w:p>
    <w:p>
      <w:pPr>
        <w:pStyle w:val="ListParagraph"/>
        <w:numPr>
          <w:ilvl w:val="0"/>
          <w:numId w:val="48"/>
        </w:numPr>
        <w:tabs>
          <w:tab w:pos="1107" w:val="left" w:leader="none"/>
        </w:tabs>
        <w:spacing w:line="278" w:lineRule="auto" w:before="43" w:after="0"/>
        <w:ind w:left="698" w:right="3030" w:firstLine="0"/>
        <w:jc w:val="both"/>
        <w:rPr>
          <w:sz w:val="21"/>
        </w:rPr>
      </w:pPr>
      <w:r>
        <w:rPr>
          <w:sz w:val="21"/>
        </w:rPr>
        <w:t>促进工作人员参与职业健康安全管理体系持续改进措施的实施； </w:t>
      </w:r>
      <w:r>
        <w:rPr>
          <w:rFonts w:ascii="Times New Roman" w:eastAsia="Times New Roman"/>
          <w:sz w:val="21"/>
        </w:rPr>
        <w:t>d</w:t>
      </w:r>
      <w:r>
        <w:rPr>
          <w:sz w:val="21"/>
        </w:rPr>
        <w:t>）</w:t>
      </w:r>
      <w:r>
        <w:rPr>
          <w:spacing w:val="-4"/>
          <w:sz w:val="21"/>
        </w:rPr>
        <w:t> 就有关持续改进的结果与工作人员及其代表</w:t>
      </w:r>
      <w:r>
        <w:rPr>
          <w:sz w:val="21"/>
        </w:rPr>
        <w:t>（若有）进行沟通； </w:t>
      </w:r>
      <w:r>
        <w:rPr>
          <w:rFonts w:ascii="Times New Roman" w:eastAsia="Times New Roman"/>
          <w:sz w:val="21"/>
        </w:rPr>
        <w:t>e</w:t>
      </w:r>
      <w:r>
        <w:rPr>
          <w:sz w:val="21"/>
        </w:rPr>
        <w:t>）</w:t>
      </w:r>
      <w:r>
        <w:rPr>
          <w:spacing w:val="-1"/>
          <w:sz w:val="21"/>
        </w:rPr>
        <w:t> 保持和保留文件化信息作为持续改进的证据。</w:t>
      </w: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7"/>
        <w:rPr>
          <w:sz w:val="20"/>
        </w:rPr>
      </w:pPr>
    </w:p>
    <w:p>
      <w:pPr>
        <w:pStyle w:val="BodyText"/>
        <w:spacing w:before="0"/>
        <w:ind w:left="2378" w:right="2091"/>
        <w:jc w:val="center"/>
        <w:rPr>
          <w:rFonts w:ascii="Times New Roman" w:eastAsia="Times New Roman"/>
        </w:rPr>
      </w:pPr>
      <w:r>
        <w:rPr>
          <w:color w:val="FF0000"/>
        </w:rPr>
        <w:t>中高级职称评审，联系人：张老师 </w:t>
      </w:r>
      <w:r>
        <w:rPr>
          <w:rFonts w:ascii="Times New Roman" w:eastAsia="Times New Roman"/>
          <w:color w:val="FF0000"/>
        </w:rPr>
        <w:t>15674292811</w:t>
      </w:r>
    </w:p>
    <w:p>
      <w:pPr>
        <w:spacing w:after="0"/>
        <w:jc w:val="center"/>
        <w:rPr>
          <w:rFonts w:ascii="Times New Roman" w:eastAsia="Times New Roman"/>
        </w:rPr>
        <w:sectPr>
          <w:pgSz w:w="11910" w:h="16840"/>
          <w:pgMar w:header="1442" w:footer="850" w:top="1660" w:bottom="1040" w:left="1140" w:right="740"/>
        </w:sect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3"/>
        </w:rPr>
      </w:pPr>
    </w:p>
    <w:p>
      <w:pPr>
        <w:pStyle w:val="BodyText"/>
        <w:spacing w:before="70"/>
        <w:ind w:left="2216" w:right="2445"/>
        <w:jc w:val="center"/>
        <w:rPr>
          <w:rFonts w:ascii="黑体" w:eastAsia="黑体" w:hint="eastAsia"/>
        </w:rPr>
      </w:pPr>
      <w:bookmarkStart w:name="_bookmark56" w:id="166"/>
      <w:bookmarkEnd w:id="166"/>
      <w:r>
        <w:rPr/>
      </w:r>
      <w:r>
        <w:rPr>
          <w:rFonts w:ascii="黑体" w:eastAsia="黑体" w:hint="eastAsia"/>
        </w:rPr>
        <w:t>附录 A</w:t>
      </w:r>
    </w:p>
    <w:p>
      <w:pPr>
        <w:pStyle w:val="BodyText"/>
        <w:ind w:left="2217" w:right="2445"/>
        <w:jc w:val="center"/>
      </w:pPr>
      <w:r>
        <w:rPr/>
        <w:t>（资料性附录）</w:t>
      </w:r>
    </w:p>
    <w:p>
      <w:pPr>
        <w:pStyle w:val="BodyText"/>
        <w:ind w:left="2215" w:right="2445"/>
        <w:jc w:val="center"/>
        <w:rPr>
          <w:rFonts w:ascii="黑体" w:eastAsia="黑体" w:hint="eastAsia"/>
        </w:rPr>
      </w:pPr>
      <w:r>
        <w:rPr>
          <w:rFonts w:ascii="黑体" w:eastAsia="黑体" w:hint="eastAsia"/>
        </w:rPr>
        <w:t>本标准的使用指南</w:t>
      </w:r>
    </w:p>
    <w:p>
      <w:pPr>
        <w:pStyle w:val="BodyText"/>
        <w:spacing w:before="5"/>
        <w:rPr>
          <w:rFonts w:ascii="黑体"/>
          <w:sz w:val="13"/>
        </w:rPr>
      </w:pPr>
    </w:p>
    <w:p>
      <w:pPr>
        <w:pStyle w:val="ListParagraph"/>
        <w:numPr>
          <w:ilvl w:val="1"/>
          <w:numId w:val="49"/>
        </w:numPr>
        <w:tabs>
          <w:tab w:pos="646" w:val="left" w:leader="none"/>
        </w:tabs>
        <w:spacing w:line="240" w:lineRule="auto" w:before="70" w:after="0"/>
        <w:ind w:left="645" w:right="0" w:hanging="368"/>
        <w:jc w:val="left"/>
        <w:rPr>
          <w:rFonts w:ascii="黑体" w:eastAsia="黑体" w:hint="eastAsia"/>
          <w:sz w:val="21"/>
        </w:rPr>
      </w:pPr>
      <w:bookmarkStart w:name="A.1总则" w:id="167"/>
      <w:bookmarkEnd w:id="167"/>
      <w:r>
        <w:rPr/>
      </w:r>
      <w:bookmarkStart w:name="A.1总则" w:id="168"/>
      <w:bookmarkEnd w:id="168"/>
      <w:r>
        <w:rPr>
          <w:rFonts w:ascii="黑体" w:eastAsia="黑体" w:hint="eastAsia"/>
          <w:sz w:val="21"/>
        </w:rPr>
        <w:t>总则</w:t>
      </w:r>
    </w:p>
    <w:p>
      <w:pPr>
        <w:pStyle w:val="BodyText"/>
        <w:spacing w:before="7"/>
        <w:rPr>
          <w:rFonts w:ascii="黑体"/>
          <w:sz w:val="15"/>
        </w:rPr>
      </w:pPr>
    </w:p>
    <w:p>
      <w:pPr>
        <w:pStyle w:val="BodyText"/>
        <w:spacing w:line="278" w:lineRule="auto" w:before="0"/>
        <w:ind w:left="278" w:right="506" w:firstLine="420"/>
      </w:pPr>
      <w:r>
        <w:rPr>
          <w:w w:val="95"/>
        </w:rPr>
        <w:t>本附录所给出的解释性信息旨在防止对本标准所包含要求的错误理解，这些信息的阐述与标准要   </w:t>
      </w:r>
      <w:r>
        <w:rPr/>
        <w:t>求保持一致，不拟增加、减少或以任何方式修改本标准的要求。</w:t>
      </w:r>
    </w:p>
    <w:p>
      <w:pPr>
        <w:pStyle w:val="BodyText"/>
        <w:spacing w:line="278" w:lineRule="auto" w:before="0"/>
        <w:ind w:left="278" w:right="509" w:firstLine="420"/>
      </w:pPr>
      <w:r>
        <w:rPr>
          <w:w w:val="95"/>
        </w:rPr>
        <w:t>本标准中的要求需以系统且非孤立的视角进行考虑，即某些章条中的要求可能与其他章条中的要   </w:t>
      </w:r>
      <w:r>
        <w:rPr/>
        <w:t>求之间存在着相互联系。</w:t>
      </w:r>
    </w:p>
    <w:p>
      <w:pPr>
        <w:pStyle w:val="ListParagraph"/>
        <w:numPr>
          <w:ilvl w:val="1"/>
          <w:numId w:val="49"/>
        </w:numPr>
        <w:tabs>
          <w:tab w:pos="646" w:val="left" w:leader="none"/>
        </w:tabs>
        <w:spacing w:line="240" w:lineRule="auto" w:before="155" w:after="0"/>
        <w:ind w:left="645" w:right="0" w:hanging="368"/>
        <w:jc w:val="left"/>
        <w:rPr>
          <w:rFonts w:ascii="黑体" w:eastAsia="黑体" w:hint="eastAsia"/>
          <w:sz w:val="21"/>
        </w:rPr>
      </w:pPr>
      <w:bookmarkStart w:name="A.2规范性引用文件" w:id="169"/>
      <w:bookmarkEnd w:id="169"/>
      <w:r>
        <w:rPr/>
      </w:r>
      <w:bookmarkStart w:name="A.2规范性引用文件" w:id="170"/>
      <w:bookmarkEnd w:id="170"/>
      <w:r>
        <w:rPr>
          <w:rFonts w:ascii="黑体" w:eastAsia="黑体" w:hint="eastAsia"/>
          <w:w w:val="95"/>
          <w:sz w:val="21"/>
        </w:rPr>
        <w:t>规范性引用文件</w:t>
      </w:r>
    </w:p>
    <w:p>
      <w:pPr>
        <w:pStyle w:val="BodyText"/>
        <w:spacing w:before="7"/>
        <w:rPr>
          <w:rFonts w:ascii="黑体"/>
          <w:sz w:val="15"/>
        </w:rPr>
      </w:pPr>
    </w:p>
    <w:p>
      <w:pPr>
        <w:pStyle w:val="BodyText"/>
        <w:spacing w:line="278" w:lineRule="auto" w:before="0"/>
        <w:ind w:left="278" w:right="506" w:firstLine="420"/>
      </w:pPr>
      <w:r>
        <w:rPr>
          <w:w w:val="95"/>
        </w:rPr>
        <w:t>本标准无规范性引用文件。使用者可从参考文献所列文件中获得有关职业健康安全指南和其他管   </w:t>
      </w:r>
      <w:r>
        <w:rPr/>
        <w:t>理体系标准的进一步信息。</w:t>
      </w:r>
    </w:p>
    <w:p>
      <w:pPr>
        <w:pStyle w:val="ListParagraph"/>
        <w:numPr>
          <w:ilvl w:val="1"/>
          <w:numId w:val="49"/>
        </w:numPr>
        <w:tabs>
          <w:tab w:pos="646" w:val="left" w:leader="none"/>
        </w:tabs>
        <w:spacing w:line="240" w:lineRule="auto" w:before="156" w:after="0"/>
        <w:ind w:left="645" w:right="0" w:hanging="368"/>
        <w:jc w:val="left"/>
        <w:rPr>
          <w:rFonts w:ascii="黑体" w:eastAsia="黑体" w:hint="eastAsia"/>
          <w:sz w:val="21"/>
        </w:rPr>
      </w:pPr>
      <w:bookmarkStart w:name="A.3术语和定义" w:id="171"/>
      <w:bookmarkEnd w:id="171"/>
      <w:r>
        <w:rPr/>
      </w:r>
      <w:bookmarkStart w:name="A.3术语和定义" w:id="172"/>
      <w:bookmarkEnd w:id="172"/>
      <w:r>
        <w:rPr>
          <w:rFonts w:ascii="黑体" w:eastAsia="黑体" w:hint="eastAsia"/>
          <w:sz w:val="21"/>
        </w:rPr>
        <w:t>术语和定义</w:t>
      </w:r>
    </w:p>
    <w:p>
      <w:pPr>
        <w:pStyle w:val="BodyText"/>
        <w:spacing w:before="7"/>
        <w:rPr>
          <w:rFonts w:ascii="黑体"/>
          <w:sz w:val="15"/>
        </w:rPr>
      </w:pPr>
    </w:p>
    <w:p>
      <w:pPr>
        <w:pStyle w:val="BodyText"/>
        <w:spacing w:before="0"/>
        <w:ind w:left="698"/>
        <w:jc w:val="both"/>
      </w:pPr>
      <w:r>
        <w:rPr/>
        <w:t>除了第 </w:t>
      </w:r>
      <w:r>
        <w:rPr>
          <w:rFonts w:ascii="Times New Roman" w:eastAsia="Times New Roman"/>
        </w:rPr>
        <w:t>3 </w:t>
      </w:r>
      <w:r>
        <w:rPr/>
        <w:t>章给出的术语和定义外，以下还对所选概念进行了说明，以防止错误理解：</w:t>
      </w:r>
    </w:p>
    <w:p>
      <w:pPr>
        <w:pStyle w:val="ListParagraph"/>
        <w:numPr>
          <w:ilvl w:val="2"/>
          <w:numId w:val="49"/>
        </w:numPr>
        <w:tabs>
          <w:tab w:pos="1107" w:val="left" w:leader="none"/>
        </w:tabs>
        <w:spacing w:line="278" w:lineRule="auto" w:before="43" w:after="0"/>
        <w:ind w:left="1128" w:right="493" w:hanging="430"/>
        <w:jc w:val="both"/>
        <w:rPr>
          <w:sz w:val="21"/>
        </w:rPr>
      </w:pPr>
      <w:r>
        <w:rPr>
          <w:spacing w:val="-1"/>
          <w:w w:val="99"/>
          <w:sz w:val="21"/>
        </w:rPr>
        <w:t>“持续</w:t>
      </w:r>
      <w:r>
        <w:rPr>
          <w:spacing w:val="2"/>
          <w:w w:val="99"/>
          <w:sz w:val="21"/>
        </w:rPr>
        <w:t>（</w:t>
      </w:r>
      <w:r>
        <w:rPr>
          <w:rFonts w:ascii="Times New Roman" w:hAnsi="Times New Roman" w:eastAsia="Times New Roman"/>
          <w:w w:val="99"/>
          <w:sz w:val="21"/>
        </w:rPr>
        <w:t>c</w:t>
      </w:r>
      <w:r>
        <w:rPr>
          <w:rFonts w:ascii="Times New Roman" w:hAnsi="Times New Roman" w:eastAsia="Times New Roman"/>
          <w:spacing w:val="1"/>
          <w:w w:val="99"/>
          <w:sz w:val="21"/>
        </w:rPr>
        <w:t>on</w:t>
      </w:r>
      <w:r>
        <w:rPr>
          <w:rFonts w:ascii="Times New Roman" w:hAnsi="Times New Roman" w:eastAsia="Times New Roman"/>
          <w:spacing w:val="-1"/>
          <w:w w:val="99"/>
          <w:sz w:val="21"/>
        </w:rPr>
        <w:t>ti</w:t>
      </w:r>
      <w:r>
        <w:rPr>
          <w:rFonts w:ascii="Times New Roman" w:hAnsi="Times New Roman" w:eastAsia="Times New Roman"/>
          <w:spacing w:val="1"/>
          <w:w w:val="99"/>
          <w:sz w:val="21"/>
        </w:rPr>
        <w:t>nu</w:t>
      </w:r>
      <w:r>
        <w:rPr>
          <w:rFonts w:ascii="Times New Roman" w:hAnsi="Times New Roman" w:eastAsia="Times New Roman"/>
          <w:w w:val="99"/>
          <w:sz w:val="21"/>
        </w:rPr>
        <w:t>a</w:t>
      </w:r>
      <w:r>
        <w:rPr>
          <w:rFonts w:ascii="Times New Roman" w:hAnsi="Times New Roman" w:eastAsia="Times New Roman"/>
          <w:spacing w:val="-1"/>
          <w:w w:val="99"/>
          <w:sz w:val="21"/>
        </w:rPr>
        <w:t>l</w:t>
      </w:r>
      <w:r>
        <w:rPr>
          <w:spacing w:val="-106"/>
          <w:w w:val="99"/>
          <w:sz w:val="21"/>
        </w:rPr>
        <w:t>）</w:t>
      </w:r>
      <w:r>
        <w:rPr>
          <w:spacing w:val="-1"/>
          <w:w w:val="99"/>
          <w:sz w:val="21"/>
        </w:rPr>
        <w:t>”指发生在一段时期内的持续，但可能有间断；而“连续</w:t>
      </w:r>
      <w:r>
        <w:rPr>
          <w:spacing w:val="2"/>
          <w:w w:val="99"/>
          <w:sz w:val="21"/>
        </w:rPr>
        <w:t>（</w:t>
      </w:r>
      <w:r>
        <w:rPr>
          <w:rFonts w:ascii="Times New Roman" w:hAnsi="Times New Roman" w:eastAsia="Times New Roman"/>
          <w:w w:val="99"/>
          <w:sz w:val="21"/>
        </w:rPr>
        <w:t>c</w:t>
      </w:r>
      <w:r>
        <w:rPr>
          <w:rFonts w:ascii="Times New Roman" w:hAnsi="Times New Roman" w:eastAsia="Times New Roman"/>
          <w:spacing w:val="1"/>
          <w:w w:val="99"/>
          <w:sz w:val="21"/>
        </w:rPr>
        <w:t>on</w:t>
      </w:r>
      <w:r>
        <w:rPr>
          <w:rFonts w:ascii="Times New Roman" w:hAnsi="Times New Roman" w:eastAsia="Times New Roman"/>
          <w:spacing w:val="-1"/>
          <w:w w:val="99"/>
          <w:sz w:val="21"/>
        </w:rPr>
        <w:t>ti</w:t>
      </w:r>
      <w:r>
        <w:rPr>
          <w:rFonts w:ascii="Times New Roman" w:hAnsi="Times New Roman" w:eastAsia="Times New Roman"/>
          <w:spacing w:val="1"/>
          <w:w w:val="99"/>
          <w:sz w:val="21"/>
        </w:rPr>
        <w:t>nu</w:t>
      </w:r>
      <w:r>
        <w:rPr>
          <w:rFonts w:ascii="Times New Roman" w:hAnsi="Times New Roman" w:eastAsia="Times New Roman"/>
          <w:spacing w:val="-2"/>
          <w:w w:val="99"/>
          <w:sz w:val="21"/>
        </w:rPr>
        <w:t>o</w:t>
      </w:r>
      <w:r>
        <w:rPr>
          <w:rFonts w:ascii="Times New Roman" w:hAnsi="Times New Roman" w:eastAsia="Times New Roman"/>
          <w:spacing w:val="1"/>
          <w:w w:val="99"/>
          <w:sz w:val="21"/>
        </w:rPr>
        <w:t>u</w:t>
      </w:r>
      <w:r>
        <w:rPr>
          <w:rFonts w:ascii="Times New Roman" w:hAnsi="Times New Roman" w:eastAsia="Times New Roman"/>
          <w:w w:val="99"/>
          <w:sz w:val="21"/>
        </w:rPr>
        <w:t>s</w:t>
      </w:r>
      <w:r>
        <w:rPr>
          <w:spacing w:val="-104"/>
          <w:w w:val="99"/>
          <w:sz w:val="21"/>
        </w:rPr>
        <w:t>）</w:t>
      </w:r>
      <w:r>
        <w:rPr>
          <w:w w:val="99"/>
          <w:sz w:val="21"/>
        </w:rPr>
        <w:t>”</w:t>
      </w:r>
      <w:r>
        <w:rPr>
          <w:spacing w:val="-1"/>
          <w:w w:val="99"/>
          <w:sz w:val="21"/>
        </w:rPr>
        <w:t>指不间断的持续，因此应当使用“持续（</w:t>
      </w:r>
      <w:r>
        <w:rPr>
          <w:rFonts w:ascii="Times New Roman" w:hAnsi="Times New Roman" w:eastAsia="Times New Roman"/>
          <w:w w:val="99"/>
          <w:sz w:val="21"/>
        </w:rPr>
        <w:t>c</w:t>
      </w:r>
      <w:r>
        <w:rPr>
          <w:rFonts w:ascii="Times New Roman" w:hAnsi="Times New Roman" w:eastAsia="Times New Roman"/>
          <w:spacing w:val="1"/>
          <w:w w:val="99"/>
          <w:sz w:val="21"/>
        </w:rPr>
        <w:t>on</w:t>
      </w:r>
      <w:r>
        <w:rPr>
          <w:rFonts w:ascii="Times New Roman" w:hAnsi="Times New Roman" w:eastAsia="Times New Roman"/>
          <w:spacing w:val="-1"/>
          <w:w w:val="99"/>
          <w:sz w:val="21"/>
        </w:rPr>
        <w:t>ti</w:t>
      </w:r>
      <w:r>
        <w:rPr>
          <w:rFonts w:ascii="Times New Roman" w:hAnsi="Times New Roman" w:eastAsia="Times New Roman"/>
          <w:spacing w:val="1"/>
          <w:w w:val="99"/>
          <w:sz w:val="21"/>
        </w:rPr>
        <w:t>nu</w:t>
      </w:r>
      <w:r>
        <w:rPr>
          <w:rFonts w:ascii="Times New Roman" w:hAnsi="Times New Roman" w:eastAsia="Times New Roman"/>
          <w:w w:val="99"/>
          <w:sz w:val="21"/>
        </w:rPr>
        <w:t>a</w:t>
      </w:r>
      <w:r>
        <w:rPr>
          <w:rFonts w:ascii="Times New Roman" w:hAnsi="Times New Roman" w:eastAsia="Times New Roman"/>
          <w:spacing w:val="-1"/>
          <w:w w:val="99"/>
          <w:sz w:val="21"/>
        </w:rPr>
        <w:t>l</w:t>
      </w:r>
      <w:r>
        <w:rPr>
          <w:spacing w:val="-104"/>
          <w:w w:val="99"/>
          <w:sz w:val="21"/>
        </w:rPr>
        <w:t>）</w:t>
      </w:r>
      <w:r>
        <w:rPr>
          <w:spacing w:val="-1"/>
          <w:w w:val="99"/>
          <w:sz w:val="21"/>
        </w:rPr>
        <w:t>”来描述改进。</w:t>
      </w:r>
    </w:p>
    <w:p>
      <w:pPr>
        <w:pStyle w:val="ListParagraph"/>
        <w:numPr>
          <w:ilvl w:val="2"/>
          <w:numId w:val="49"/>
        </w:numPr>
        <w:tabs>
          <w:tab w:pos="1124" w:val="left" w:leader="none"/>
        </w:tabs>
        <w:spacing w:line="278" w:lineRule="auto" w:before="0" w:after="0"/>
        <w:ind w:left="1128" w:right="501" w:hanging="430"/>
        <w:jc w:val="both"/>
        <w:rPr>
          <w:sz w:val="21"/>
        </w:rPr>
      </w:pPr>
      <w:r>
        <w:rPr>
          <w:spacing w:val="2"/>
          <w:w w:val="99"/>
          <w:sz w:val="21"/>
        </w:rPr>
        <w:t>“考虑</w:t>
      </w:r>
      <w:r>
        <w:rPr>
          <w:spacing w:val="4"/>
          <w:w w:val="99"/>
          <w:sz w:val="21"/>
        </w:rPr>
        <w:t>（</w:t>
      </w:r>
      <w:r>
        <w:rPr>
          <w:rFonts w:ascii="Times New Roman" w:hAnsi="Times New Roman" w:eastAsia="Times New Roman"/>
          <w:w w:val="99"/>
          <w:sz w:val="21"/>
        </w:rPr>
        <w:t>c</w:t>
      </w:r>
      <w:r>
        <w:rPr>
          <w:rFonts w:ascii="Times New Roman" w:hAnsi="Times New Roman" w:eastAsia="Times New Roman"/>
          <w:spacing w:val="1"/>
          <w:w w:val="99"/>
          <w:sz w:val="21"/>
        </w:rPr>
        <w:t>on</w:t>
      </w:r>
      <w:r>
        <w:rPr>
          <w:rFonts w:ascii="Times New Roman" w:hAnsi="Times New Roman" w:eastAsia="Times New Roman"/>
          <w:w w:val="99"/>
          <w:sz w:val="21"/>
        </w:rPr>
        <w:t>s</w:t>
      </w:r>
      <w:r>
        <w:rPr>
          <w:rFonts w:ascii="Times New Roman" w:hAnsi="Times New Roman" w:eastAsia="Times New Roman"/>
          <w:spacing w:val="-1"/>
          <w:w w:val="99"/>
          <w:sz w:val="21"/>
        </w:rPr>
        <w:t>i</w:t>
      </w:r>
      <w:r>
        <w:rPr>
          <w:rFonts w:ascii="Times New Roman" w:hAnsi="Times New Roman" w:eastAsia="Times New Roman"/>
          <w:spacing w:val="1"/>
          <w:w w:val="99"/>
          <w:sz w:val="21"/>
        </w:rPr>
        <w:t>d</w:t>
      </w:r>
      <w:r>
        <w:rPr>
          <w:rFonts w:ascii="Times New Roman" w:hAnsi="Times New Roman" w:eastAsia="Times New Roman"/>
          <w:w w:val="99"/>
          <w:sz w:val="21"/>
        </w:rPr>
        <w:t>er</w:t>
      </w:r>
      <w:r>
        <w:rPr>
          <w:spacing w:val="-104"/>
          <w:w w:val="99"/>
          <w:sz w:val="21"/>
        </w:rPr>
        <w:t>）</w:t>
      </w:r>
      <w:r>
        <w:rPr>
          <w:spacing w:val="-5"/>
          <w:w w:val="99"/>
          <w:sz w:val="21"/>
        </w:rPr>
        <w:t>”意指有必要考虑，但可拒绝考虑；“必须考虑</w:t>
      </w:r>
      <w:r>
        <w:rPr>
          <w:spacing w:val="2"/>
          <w:w w:val="99"/>
          <w:sz w:val="21"/>
        </w:rPr>
        <w:t>（</w:t>
      </w:r>
      <w:r>
        <w:rPr>
          <w:rFonts w:ascii="Times New Roman" w:hAnsi="Times New Roman" w:eastAsia="Times New Roman"/>
          <w:spacing w:val="-1"/>
          <w:w w:val="99"/>
          <w:sz w:val="21"/>
        </w:rPr>
        <w:t>t</w:t>
      </w:r>
      <w:r>
        <w:rPr>
          <w:rFonts w:ascii="Times New Roman" w:hAnsi="Times New Roman" w:eastAsia="Times New Roman"/>
          <w:w w:val="99"/>
          <w:sz w:val="21"/>
        </w:rPr>
        <w:t>a</w:t>
      </w:r>
      <w:r>
        <w:rPr>
          <w:rFonts w:ascii="Times New Roman" w:hAnsi="Times New Roman" w:eastAsia="Times New Roman"/>
          <w:spacing w:val="-2"/>
          <w:w w:val="99"/>
          <w:sz w:val="21"/>
        </w:rPr>
        <w:t>k</w:t>
      </w:r>
      <w:r>
        <w:rPr>
          <w:rFonts w:ascii="Times New Roman" w:hAnsi="Times New Roman" w:eastAsia="Times New Roman"/>
          <w:w w:val="99"/>
          <w:sz w:val="21"/>
        </w:rPr>
        <w:t>e</w:t>
      </w:r>
      <w:r>
        <w:rPr>
          <w:rFonts w:ascii="Times New Roman" w:hAnsi="Times New Roman" w:eastAsia="Times New Roman"/>
          <w:spacing w:val="3"/>
          <w:sz w:val="21"/>
        </w:rPr>
        <w:t> </w:t>
      </w:r>
      <w:r>
        <w:rPr>
          <w:rFonts w:ascii="Times New Roman" w:hAnsi="Times New Roman" w:eastAsia="Times New Roman"/>
          <w:spacing w:val="-1"/>
          <w:w w:val="99"/>
          <w:sz w:val="21"/>
        </w:rPr>
        <w:t>i</w:t>
      </w:r>
      <w:r>
        <w:rPr>
          <w:rFonts w:ascii="Times New Roman" w:hAnsi="Times New Roman" w:eastAsia="Times New Roman"/>
          <w:spacing w:val="1"/>
          <w:w w:val="99"/>
          <w:sz w:val="21"/>
        </w:rPr>
        <w:t>n</w:t>
      </w:r>
      <w:r>
        <w:rPr>
          <w:rFonts w:ascii="Times New Roman" w:hAnsi="Times New Roman" w:eastAsia="Times New Roman"/>
          <w:spacing w:val="-1"/>
          <w:w w:val="99"/>
          <w:sz w:val="21"/>
        </w:rPr>
        <w:t>t</w:t>
      </w:r>
      <w:r>
        <w:rPr>
          <w:rFonts w:ascii="Times New Roman" w:hAnsi="Times New Roman" w:eastAsia="Times New Roman"/>
          <w:w w:val="99"/>
          <w:sz w:val="21"/>
        </w:rPr>
        <w:t>o</w:t>
      </w:r>
      <w:r>
        <w:rPr>
          <w:rFonts w:ascii="Times New Roman" w:hAnsi="Times New Roman" w:eastAsia="Times New Roman"/>
          <w:spacing w:val="3"/>
          <w:sz w:val="21"/>
        </w:rPr>
        <w:t> </w:t>
      </w:r>
      <w:r>
        <w:rPr>
          <w:rFonts w:ascii="Times New Roman" w:hAnsi="Times New Roman" w:eastAsia="Times New Roman"/>
          <w:w w:val="99"/>
          <w:sz w:val="21"/>
        </w:rPr>
        <w:t>acc</w:t>
      </w:r>
      <w:r>
        <w:rPr>
          <w:rFonts w:ascii="Times New Roman" w:hAnsi="Times New Roman" w:eastAsia="Times New Roman"/>
          <w:spacing w:val="1"/>
          <w:w w:val="99"/>
          <w:sz w:val="21"/>
        </w:rPr>
        <w:t>ou</w:t>
      </w:r>
      <w:r>
        <w:rPr>
          <w:rFonts w:ascii="Times New Roman" w:hAnsi="Times New Roman" w:eastAsia="Times New Roman"/>
          <w:spacing w:val="-2"/>
          <w:w w:val="99"/>
          <w:sz w:val="21"/>
        </w:rPr>
        <w:t>n</w:t>
      </w:r>
      <w:r>
        <w:rPr>
          <w:rFonts w:ascii="Times New Roman" w:hAnsi="Times New Roman" w:eastAsia="Times New Roman"/>
          <w:spacing w:val="1"/>
          <w:w w:val="99"/>
          <w:sz w:val="21"/>
        </w:rPr>
        <w:t>t</w:t>
      </w:r>
      <w:r>
        <w:rPr>
          <w:spacing w:val="-101"/>
          <w:w w:val="99"/>
          <w:sz w:val="21"/>
        </w:rPr>
        <w:t>）</w:t>
      </w:r>
      <w:r>
        <w:rPr>
          <w:spacing w:val="1"/>
          <w:w w:val="99"/>
          <w:sz w:val="21"/>
        </w:rPr>
        <w:t>”意指</w:t>
      </w:r>
      <w:r>
        <w:rPr>
          <w:sz w:val="21"/>
        </w:rPr>
        <w:t>有必要考虑，但不能拒绝考虑。</w:t>
      </w:r>
    </w:p>
    <w:p>
      <w:pPr>
        <w:pStyle w:val="ListParagraph"/>
        <w:numPr>
          <w:ilvl w:val="2"/>
          <w:numId w:val="49"/>
        </w:numPr>
        <w:tabs>
          <w:tab w:pos="1055" w:val="left" w:leader="none"/>
        </w:tabs>
        <w:spacing w:line="278" w:lineRule="auto" w:before="0" w:after="0"/>
        <w:ind w:left="1128" w:right="499" w:hanging="380"/>
        <w:jc w:val="both"/>
        <w:rPr>
          <w:sz w:val="21"/>
        </w:rPr>
      </w:pPr>
      <w:r>
        <w:rPr>
          <w:spacing w:val="-13"/>
          <w:w w:val="99"/>
          <w:sz w:val="21"/>
        </w:rPr>
        <w:t>“适当的</w:t>
      </w:r>
      <w:r>
        <w:rPr>
          <w:spacing w:val="-1"/>
          <w:w w:val="99"/>
          <w:sz w:val="21"/>
        </w:rPr>
        <w:t>（</w:t>
      </w:r>
      <w:r>
        <w:rPr>
          <w:rFonts w:ascii="Times New Roman" w:hAnsi="Times New Roman" w:eastAsia="Times New Roman"/>
          <w:w w:val="99"/>
          <w:sz w:val="21"/>
        </w:rPr>
        <w:t>a</w:t>
      </w:r>
      <w:r>
        <w:rPr>
          <w:rFonts w:ascii="Times New Roman" w:hAnsi="Times New Roman" w:eastAsia="Times New Roman"/>
          <w:spacing w:val="1"/>
          <w:w w:val="99"/>
          <w:sz w:val="21"/>
        </w:rPr>
        <w:t>pp</w:t>
      </w:r>
      <w:r>
        <w:rPr>
          <w:rFonts w:ascii="Times New Roman" w:hAnsi="Times New Roman" w:eastAsia="Times New Roman"/>
          <w:w w:val="99"/>
          <w:sz w:val="21"/>
        </w:rPr>
        <w:t>r</w:t>
      </w:r>
      <w:r>
        <w:rPr>
          <w:rFonts w:ascii="Times New Roman" w:hAnsi="Times New Roman" w:eastAsia="Times New Roman"/>
          <w:spacing w:val="1"/>
          <w:w w:val="99"/>
          <w:sz w:val="21"/>
        </w:rPr>
        <w:t>o</w:t>
      </w:r>
      <w:r>
        <w:rPr>
          <w:rFonts w:ascii="Times New Roman" w:hAnsi="Times New Roman" w:eastAsia="Times New Roman"/>
          <w:spacing w:val="-2"/>
          <w:w w:val="99"/>
          <w:sz w:val="21"/>
        </w:rPr>
        <w:t>p</w:t>
      </w:r>
      <w:r>
        <w:rPr>
          <w:rFonts w:ascii="Times New Roman" w:hAnsi="Times New Roman" w:eastAsia="Times New Roman"/>
          <w:w w:val="99"/>
          <w:sz w:val="21"/>
        </w:rPr>
        <w:t>r</w:t>
      </w:r>
      <w:r>
        <w:rPr>
          <w:rFonts w:ascii="Times New Roman" w:hAnsi="Times New Roman" w:eastAsia="Times New Roman"/>
          <w:spacing w:val="-1"/>
          <w:w w:val="99"/>
          <w:sz w:val="21"/>
        </w:rPr>
        <w:t>i</w:t>
      </w:r>
      <w:r>
        <w:rPr>
          <w:rFonts w:ascii="Times New Roman" w:hAnsi="Times New Roman" w:eastAsia="Times New Roman"/>
          <w:w w:val="99"/>
          <w:sz w:val="21"/>
        </w:rPr>
        <w:t>a</w:t>
      </w:r>
      <w:r>
        <w:rPr>
          <w:rFonts w:ascii="Times New Roman" w:hAnsi="Times New Roman" w:eastAsia="Times New Roman"/>
          <w:spacing w:val="-1"/>
          <w:w w:val="99"/>
          <w:sz w:val="21"/>
        </w:rPr>
        <w:t>t</w:t>
      </w:r>
      <w:r>
        <w:rPr>
          <w:rFonts w:ascii="Times New Roman" w:hAnsi="Times New Roman" w:eastAsia="Times New Roman"/>
          <w:spacing w:val="3"/>
          <w:w w:val="99"/>
          <w:sz w:val="21"/>
        </w:rPr>
        <w:t>e</w:t>
      </w:r>
      <w:r>
        <w:rPr>
          <w:spacing w:val="-104"/>
          <w:w w:val="99"/>
          <w:sz w:val="21"/>
        </w:rPr>
        <w:t>）</w:t>
      </w:r>
      <w:r>
        <w:rPr>
          <w:spacing w:val="-28"/>
          <w:w w:val="99"/>
          <w:sz w:val="21"/>
        </w:rPr>
        <w:t>”与“适用的</w:t>
      </w:r>
      <w:r>
        <w:rPr>
          <w:spacing w:val="-1"/>
          <w:w w:val="99"/>
          <w:sz w:val="21"/>
        </w:rPr>
        <w:t>（</w:t>
      </w:r>
      <w:r>
        <w:rPr>
          <w:rFonts w:ascii="Times New Roman" w:hAnsi="Times New Roman" w:eastAsia="Times New Roman"/>
          <w:w w:val="99"/>
          <w:sz w:val="21"/>
        </w:rPr>
        <w:t>a</w:t>
      </w:r>
      <w:r>
        <w:rPr>
          <w:rFonts w:ascii="Times New Roman" w:hAnsi="Times New Roman" w:eastAsia="Times New Roman"/>
          <w:spacing w:val="1"/>
          <w:w w:val="99"/>
          <w:sz w:val="21"/>
        </w:rPr>
        <w:t>pp</w:t>
      </w:r>
      <w:r>
        <w:rPr>
          <w:rFonts w:ascii="Times New Roman" w:hAnsi="Times New Roman" w:eastAsia="Times New Roman"/>
          <w:spacing w:val="-1"/>
          <w:w w:val="99"/>
          <w:sz w:val="21"/>
        </w:rPr>
        <w:t>li</w:t>
      </w:r>
      <w:r>
        <w:rPr>
          <w:rFonts w:ascii="Times New Roman" w:hAnsi="Times New Roman" w:eastAsia="Times New Roman"/>
          <w:w w:val="99"/>
          <w:sz w:val="21"/>
        </w:rPr>
        <w:t>ca</w:t>
      </w:r>
      <w:r>
        <w:rPr>
          <w:rFonts w:ascii="Times New Roman" w:hAnsi="Times New Roman" w:eastAsia="Times New Roman"/>
          <w:spacing w:val="1"/>
          <w:w w:val="99"/>
          <w:sz w:val="21"/>
        </w:rPr>
        <w:t>b</w:t>
      </w:r>
      <w:r>
        <w:rPr>
          <w:rFonts w:ascii="Times New Roman" w:hAnsi="Times New Roman" w:eastAsia="Times New Roman"/>
          <w:spacing w:val="-1"/>
          <w:w w:val="99"/>
          <w:sz w:val="21"/>
        </w:rPr>
        <w:t>l</w:t>
      </w:r>
      <w:r>
        <w:rPr>
          <w:rFonts w:ascii="Times New Roman" w:hAnsi="Times New Roman" w:eastAsia="Times New Roman"/>
          <w:spacing w:val="-2"/>
          <w:w w:val="99"/>
          <w:sz w:val="21"/>
        </w:rPr>
        <w:t>e</w:t>
      </w:r>
      <w:r>
        <w:rPr>
          <w:spacing w:val="-104"/>
          <w:w w:val="99"/>
          <w:sz w:val="21"/>
        </w:rPr>
        <w:t>）</w:t>
      </w:r>
      <w:r>
        <w:rPr>
          <w:spacing w:val="-11"/>
          <w:w w:val="99"/>
          <w:sz w:val="21"/>
        </w:rPr>
        <w:t>”不得互换</w:t>
      </w:r>
      <w:r>
        <w:rPr>
          <w:spacing w:val="-16"/>
          <w:w w:val="99"/>
          <w:sz w:val="21"/>
        </w:rPr>
        <w:t>。“适当的”意指适合于或适于……</w:t>
      </w:r>
      <w:r>
        <w:rPr>
          <w:spacing w:val="-2"/>
          <w:w w:val="95"/>
          <w:sz w:val="21"/>
        </w:rPr>
        <w:t>的，并意味着某种程度的自由；而“适用的”意指与应用有关或有可能应用，且意味着如果   </w:t>
      </w:r>
      <w:r>
        <w:rPr>
          <w:spacing w:val="-2"/>
          <w:sz w:val="21"/>
        </w:rPr>
        <w:t>能够做到，就应该要做。</w:t>
      </w:r>
    </w:p>
    <w:p>
      <w:pPr>
        <w:pStyle w:val="ListParagraph"/>
        <w:numPr>
          <w:ilvl w:val="2"/>
          <w:numId w:val="49"/>
        </w:numPr>
        <w:tabs>
          <w:tab w:pos="1121" w:val="left" w:leader="none"/>
        </w:tabs>
        <w:spacing w:line="278" w:lineRule="auto" w:before="0" w:after="0"/>
        <w:ind w:left="1128" w:right="499" w:hanging="430"/>
        <w:jc w:val="both"/>
        <w:rPr>
          <w:sz w:val="21"/>
        </w:rPr>
      </w:pPr>
      <w:r>
        <w:rPr>
          <w:spacing w:val="2"/>
          <w:w w:val="99"/>
          <w:sz w:val="21"/>
        </w:rPr>
        <w:t>本标准使用了术语“相关方（</w:t>
      </w:r>
      <w:r>
        <w:rPr>
          <w:rFonts w:ascii="Times New Roman" w:hAnsi="Times New Roman" w:eastAsia="Times New Roman"/>
          <w:spacing w:val="-1"/>
          <w:w w:val="99"/>
          <w:sz w:val="21"/>
        </w:rPr>
        <w:t>i</w:t>
      </w:r>
      <w:r>
        <w:rPr>
          <w:rFonts w:ascii="Times New Roman" w:hAnsi="Times New Roman" w:eastAsia="Times New Roman"/>
          <w:spacing w:val="1"/>
          <w:w w:val="99"/>
          <w:sz w:val="21"/>
        </w:rPr>
        <w:t>n</w:t>
      </w:r>
      <w:r>
        <w:rPr>
          <w:rFonts w:ascii="Times New Roman" w:hAnsi="Times New Roman" w:eastAsia="Times New Roman"/>
          <w:spacing w:val="-1"/>
          <w:w w:val="99"/>
          <w:sz w:val="21"/>
        </w:rPr>
        <w:t>t</w:t>
      </w:r>
      <w:r>
        <w:rPr>
          <w:rFonts w:ascii="Times New Roman" w:hAnsi="Times New Roman" w:eastAsia="Times New Roman"/>
          <w:w w:val="99"/>
          <w:sz w:val="21"/>
        </w:rPr>
        <w:t>eres</w:t>
      </w:r>
      <w:r>
        <w:rPr>
          <w:rFonts w:ascii="Times New Roman" w:hAnsi="Times New Roman" w:eastAsia="Times New Roman"/>
          <w:spacing w:val="-1"/>
          <w:w w:val="99"/>
          <w:sz w:val="21"/>
        </w:rPr>
        <w:t>t</w:t>
      </w:r>
      <w:r>
        <w:rPr>
          <w:rFonts w:ascii="Times New Roman" w:hAnsi="Times New Roman" w:eastAsia="Times New Roman"/>
          <w:w w:val="99"/>
          <w:sz w:val="21"/>
        </w:rPr>
        <w:t>ed</w:t>
      </w:r>
      <w:r>
        <w:rPr>
          <w:rFonts w:ascii="Times New Roman" w:hAnsi="Times New Roman" w:eastAsia="Times New Roman"/>
          <w:spacing w:val="3"/>
          <w:sz w:val="21"/>
        </w:rPr>
        <w:t> </w:t>
      </w:r>
      <w:r>
        <w:rPr>
          <w:rFonts w:ascii="Times New Roman" w:hAnsi="Times New Roman" w:eastAsia="Times New Roman"/>
          <w:spacing w:val="1"/>
          <w:w w:val="99"/>
          <w:sz w:val="21"/>
        </w:rPr>
        <w:t>p</w:t>
      </w:r>
      <w:r>
        <w:rPr>
          <w:rFonts w:ascii="Times New Roman" w:hAnsi="Times New Roman" w:eastAsia="Times New Roman"/>
          <w:w w:val="99"/>
          <w:sz w:val="21"/>
        </w:rPr>
        <w:t>ar</w:t>
      </w:r>
      <w:r>
        <w:rPr>
          <w:rFonts w:ascii="Times New Roman" w:hAnsi="Times New Roman" w:eastAsia="Times New Roman"/>
          <w:spacing w:val="-1"/>
          <w:w w:val="99"/>
          <w:sz w:val="21"/>
        </w:rPr>
        <w:t>t</w:t>
      </w:r>
      <w:r>
        <w:rPr>
          <w:rFonts w:ascii="Times New Roman" w:hAnsi="Times New Roman" w:eastAsia="Times New Roman"/>
          <w:spacing w:val="1"/>
          <w:w w:val="99"/>
          <w:sz w:val="21"/>
        </w:rPr>
        <w:t>y</w:t>
      </w:r>
      <w:r>
        <w:rPr>
          <w:spacing w:val="-101"/>
          <w:w w:val="99"/>
          <w:sz w:val="21"/>
        </w:rPr>
        <w:t>）</w:t>
      </w:r>
      <w:r>
        <w:rPr>
          <w:spacing w:val="-26"/>
          <w:w w:val="99"/>
          <w:sz w:val="21"/>
        </w:rPr>
        <w:t>”，“利益相关方</w:t>
      </w:r>
      <w:r>
        <w:rPr>
          <w:spacing w:val="2"/>
          <w:w w:val="99"/>
          <w:sz w:val="21"/>
        </w:rPr>
        <w:t>（</w:t>
      </w:r>
      <w:r>
        <w:rPr>
          <w:rFonts w:ascii="Times New Roman" w:hAnsi="Times New Roman" w:eastAsia="Times New Roman"/>
          <w:w w:val="99"/>
          <w:sz w:val="21"/>
        </w:rPr>
        <w:t>s</w:t>
      </w:r>
      <w:r>
        <w:rPr>
          <w:rFonts w:ascii="Times New Roman" w:hAnsi="Times New Roman" w:eastAsia="Times New Roman"/>
          <w:spacing w:val="-1"/>
          <w:w w:val="99"/>
          <w:sz w:val="21"/>
        </w:rPr>
        <w:t>t</w:t>
      </w:r>
      <w:r>
        <w:rPr>
          <w:rFonts w:ascii="Times New Roman" w:hAnsi="Times New Roman" w:eastAsia="Times New Roman"/>
          <w:w w:val="99"/>
          <w:sz w:val="21"/>
        </w:rPr>
        <w:t>a</w:t>
      </w:r>
      <w:r>
        <w:rPr>
          <w:rFonts w:ascii="Times New Roman" w:hAnsi="Times New Roman" w:eastAsia="Times New Roman"/>
          <w:spacing w:val="-2"/>
          <w:w w:val="99"/>
          <w:sz w:val="21"/>
        </w:rPr>
        <w:t>k</w:t>
      </w:r>
      <w:r>
        <w:rPr>
          <w:rFonts w:ascii="Times New Roman" w:hAnsi="Times New Roman" w:eastAsia="Times New Roman"/>
          <w:w w:val="99"/>
          <w:sz w:val="21"/>
        </w:rPr>
        <w:t>e</w:t>
      </w:r>
      <w:r>
        <w:rPr>
          <w:rFonts w:ascii="Times New Roman" w:hAnsi="Times New Roman" w:eastAsia="Times New Roman"/>
          <w:spacing w:val="1"/>
          <w:w w:val="99"/>
          <w:sz w:val="21"/>
        </w:rPr>
        <w:t>ho</w:t>
      </w:r>
      <w:r>
        <w:rPr>
          <w:rFonts w:ascii="Times New Roman" w:hAnsi="Times New Roman" w:eastAsia="Times New Roman"/>
          <w:spacing w:val="-1"/>
          <w:w w:val="99"/>
          <w:sz w:val="21"/>
        </w:rPr>
        <w:t>l</w:t>
      </w:r>
      <w:r>
        <w:rPr>
          <w:rFonts w:ascii="Times New Roman" w:hAnsi="Times New Roman" w:eastAsia="Times New Roman"/>
          <w:spacing w:val="1"/>
          <w:w w:val="99"/>
          <w:sz w:val="21"/>
        </w:rPr>
        <w:t>d</w:t>
      </w:r>
      <w:r>
        <w:rPr>
          <w:rFonts w:ascii="Times New Roman" w:hAnsi="Times New Roman" w:eastAsia="Times New Roman"/>
          <w:w w:val="99"/>
          <w:sz w:val="21"/>
        </w:rPr>
        <w:t>e</w:t>
      </w:r>
      <w:r>
        <w:rPr>
          <w:rFonts w:ascii="Times New Roman" w:hAnsi="Times New Roman" w:eastAsia="Times New Roman"/>
          <w:spacing w:val="2"/>
          <w:w w:val="99"/>
          <w:sz w:val="21"/>
        </w:rPr>
        <w:t>r</w:t>
      </w:r>
      <w:r>
        <w:rPr>
          <w:spacing w:val="-104"/>
          <w:w w:val="99"/>
          <w:sz w:val="21"/>
        </w:rPr>
        <w:t>）</w:t>
      </w:r>
      <w:r>
        <w:rPr>
          <w:spacing w:val="1"/>
          <w:w w:val="99"/>
          <w:sz w:val="21"/>
        </w:rPr>
        <w:t>”是其同义词，</w:t>
      </w:r>
      <w:r>
        <w:rPr>
          <w:sz w:val="21"/>
        </w:rPr>
        <w:t>代表了相同的概念。</w:t>
      </w:r>
    </w:p>
    <w:p>
      <w:pPr>
        <w:pStyle w:val="ListParagraph"/>
        <w:numPr>
          <w:ilvl w:val="2"/>
          <w:numId w:val="49"/>
        </w:numPr>
        <w:tabs>
          <w:tab w:pos="1107" w:val="left" w:leader="none"/>
        </w:tabs>
        <w:spacing w:line="269" w:lineRule="exact" w:before="0" w:after="0"/>
        <w:ind w:left="1106" w:right="0" w:hanging="409"/>
        <w:jc w:val="both"/>
        <w:rPr>
          <w:sz w:val="21"/>
        </w:rPr>
      </w:pPr>
      <w:r>
        <w:rPr>
          <w:w w:val="99"/>
          <w:sz w:val="21"/>
        </w:rPr>
        <w:t>“确保</w:t>
      </w:r>
      <w:r>
        <w:rPr>
          <w:spacing w:val="2"/>
          <w:w w:val="99"/>
          <w:sz w:val="21"/>
        </w:rPr>
        <w:t>（</w:t>
      </w:r>
      <w:r>
        <w:rPr>
          <w:rFonts w:ascii="Times New Roman" w:hAnsi="Times New Roman" w:eastAsia="Times New Roman"/>
          <w:w w:val="99"/>
          <w:sz w:val="21"/>
        </w:rPr>
        <w:t>e</w:t>
      </w:r>
      <w:r>
        <w:rPr>
          <w:rFonts w:ascii="Times New Roman" w:hAnsi="Times New Roman" w:eastAsia="Times New Roman"/>
          <w:spacing w:val="1"/>
          <w:w w:val="99"/>
          <w:sz w:val="21"/>
        </w:rPr>
        <w:t>n</w:t>
      </w:r>
      <w:r>
        <w:rPr>
          <w:rFonts w:ascii="Times New Roman" w:hAnsi="Times New Roman" w:eastAsia="Times New Roman"/>
          <w:w w:val="99"/>
          <w:sz w:val="21"/>
        </w:rPr>
        <w:t>s</w:t>
      </w:r>
      <w:r>
        <w:rPr>
          <w:rFonts w:ascii="Times New Roman" w:hAnsi="Times New Roman" w:eastAsia="Times New Roman"/>
          <w:spacing w:val="1"/>
          <w:w w:val="99"/>
          <w:sz w:val="21"/>
        </w:rPr>
        <w:t>u</w:t>
      </w:r>
      <w:r>
        <w:rPr>
          <w:rFonts w:ascii="Times New Roman" w:hAnsi="Times New Roman" w:eastAsia="Times New Roman"/>
          <w:w w:val="99"/>
          <w:sz w:val="21"/>
        </w:rPr>
        <w:t>r</w:t>
      </w:r>
      <w:r>
        <w:rPr>
          <w:rFonts w:ascii="Times New Roman" w:hAnsi="Times New Roman" w:eastAsia="Times New Roman"/>
          <w:spacing w:val="-2"/>
          <w:w w:val="99"/>
          <w:sz w:val="21"/>
        </w:rPr>
        <w:t>e</w:t>
      </w:r>
      <w:r>
        <w:rPr>
          <w:spacing w:val="-104"/>
          <w:w w:val="99"/>
          <w:sz w:val="21"/>
        </w:rPr>
        <w:t>）</w:t>
      </w:r>
      <w:r>
        <w:rPr>
          <w:spacing w:val="-1"/>
          <w:w w:val="99"/>
          <w:sz w:val="21"/>
        </w:rPr>
        <w:t>”一词意指：可将职责委派给他人，但仍承担确保措施得到实施的问责。</w:t>
      </w:r>
    </w:p>
    <w:p>
      <w:pPr>
        <w:pStyle w:val="ListParagraph"/>
        <w:numPr>
          <w:ilvl w:val="2"/>
          <w:numId w:val="49"/>
        </w:numPr>
        <w:tabs>
          <w:tab w:pos="978" w:val="left" w:leader="none"/>
        </w:tabs>
        <w:spacing w:line="278" w:lineRule="auto" w:before="42" w:after="0"/>
        <w:ind w:left="1128" w:right="386" w:hanging="430"/>
        <w:jc w:val="left"/>
        <w:rPr>
          <w:sz w:val="21"/>
        </w:rPr>
      </w:pPr>
      <w:r>
        <w:rPr>
          <w:spacing w:val="-10"/>
          <w:w w:val="99"/>
          <w:sz w:val="21"/>
        </w:rPr>
        <w:t>“文件化信息</w:t>
      </w:r>
      <w:r>
        <w:rPr>
          <w:spacing w:val="-1"/>
          <w:w w:val="99"/>
          <w:sz w:val="21"/>
        </w:rPr>
        <w:t>（</w:t>
      </w:r>
      <w:r>
        <w:rPr>
          <w:rFonts w:ascii="Times New Roman" w:hAnsi="Times New Roman" w:eastAsia="Times New Roman"/>
          <w:spacing w:val="1"/>
          <w:w w:val="99"/>
          <w:sz w:val="21"/>
        </w:rPr>
        <w:t>do</w:t>
      </w:r>
      <w:r>
        <w:rPr>
          <w:rFonts w:ascii="Times New Roman" w:hAnsi="Times New Roman" w:eastAsia="Times New Roman"/>
          <w:w w:val="99"/>
          <w:sz w:val="21"/>
        </w:rPr>
        <w:t>c</w:t>
      </w:r>
      <w:r>
        <w:rPr>
          <w:rFonts w:ascii="Times New Roman" w:hAnsi="Times New Roman" w:eastAsia="Times New Roman"/>
          <w:spacing w:val="-2"/>
          <w:w w:val="99"/>
          <w:sz w:val="21"/>
        </w:rPr>
        <w:t>um</w:t>
      </w:r>
      <w:r>
        <w:rPr>
          <w:rFonts w:ascii="Times New Roman" w:hAnsi="Times New Roman" w:eastAsia="Times New Roman"/>
          <w:w w:val="99"/>
          <w:sz w:val="21"/>
        </w:rPr>
        <w:t>e</w:t>
      </w:r>
      <w:r>
        <w:rPr>
          <w:rFonts w:ascii="Times New Roman" w:hAnsi="Times New Roman" w:eastAsia="Times New Roman"/>
          <w:spacing w:val="1"/>
          <w:w w:val="99"/>
          <w:sz w:val="21"/>
        </w:rPr>
        <w:t>n</w:t>
      </w:r>
      <w:r>
        <w:rPr>
          <w:rFonts w:ascii="Times New Roman" w:hAnsi="Times New Roman" w:eastAsia="Times New Roman"/>
          <w:spacing w:val="-1"/>
          <w:w w:val="99"/>
          <w:sz w:val="21"/>
        </w:rPr>
        <w:t>t</w:t>
      </w:r>
      <w:r>
        <w:rPr>
          <w:rFonts w:ascii="Times New Roman" w:hAnsi="Times New Roman" w:eastAsia="Times New Roman"/>
          <w:w w:val="99"/>
          <w:sz w:val="21"/>
        </w:rPr>
        <w:t>ed</w:t>
      </w:r>
      <w:r>
        <w:rPr>
          <w:rFonts w:ascii="Times New Roman" w:hAnsi="Times New Roman" w:eastAsia="Times New Roman"/>
          <w:spacing w:val="1"/>
          <w:sz w:val="21"/>
        </w:rPr>
        <w:t> </w:t>
      </w:r>
      <w:r>
        <w:rPr>
          <w:rFonts w:ascii="Times New Roman" w:hAnsi="Times New Roman" w:eastAsia="Times New Roman"/>
          <w:spacing w:val="-1"/>
          <w:w w:val="99"/>
          <w:sz w:val="21"/>
        </w:rPr>
        <w:t>i</w:t>
      </w:r>
      <w:r>
        <w:rPr>
          <w:rFonts w:ascii="Times New Roman" w:hAnsi="Times New Roman" w:eastAsia="Times New Roman"/>
          <w:spacing w:val="1"/>
          <w:w w:val="99"/>
          <w:sz w:val="21"/>
        </w:rPr>
        <w:t>n</w:t>
      </w:r>
      <w:r>
        <w:rPr>
          <w:rFonts w:ascii="Times New Roman" w:hAnsi="Times New Roman" w:eastAsia="Times New Roman"/>
          <w:w w:val="99"/>
          <w:sz w:val="21"/>
        </w:rPr>
        <w:t>f</w:t>
      </w:r>
      <w:r>
        <w:rPr>
          <w:rFonts w:ascii="Times New Roman" w:hAnsi="Times New Roman" w:eastAsia="Times New Roman"/>
          <w:spacing w:val="1"/>
          <w:w w:val="99"/>
          <w:sz w:val="21"/>
        </w:rPr>
        <w:t>o</w:t>
      </w:r>
      <w:r>
        <w:rPr>
          <w:rFonts w:ascii="Times New Roman" w:hAnsi="Times New Roman" w:eastAsia="Times New Roman"/>
          <w:w w:val="99"/>
          <w:sz w:val="21"/>
        </w:rPr>
        <w:t>rma</w:t>
      </w:r>
      <w:r>
        <w:rPr>
          <w:rFonts w:ascii="Times New Roman" w:hAnsi="Times New Roman" w:eastAsia="Times New Roman"/>
          <w:spacing w:val="-1"/>
          <w:w w:val="99"/>
          <w:sz w:val="21"/>
        </w:rPr>
        <w:t>ti</w:t>
      </w:r>
      <w:r>
        <w:rPr>
          <w:rFonts w:ascii="Times New Roman" w:hAnsi="Times New Roman" w:eastAsia="Times New Roman"/>
          <w:spacing w:val="1"/>
          <w:w w:val="99"/>
          <w:sz w:val="21"/>
        </w:rPr>
        <w:t>o</w:t>
      </w:r>
      <w:r>
        <w:rPr>
          <w:rFonts w:ascii="Times New Roman" w:hAnsi="Times New Roman" w:eastAsia="Times New Roman"/>
          <w:spacing w:val="3"/>
          <w:w w:val="99"/>
          <w:sz w:val="21"/>
        </w:rPr>
        <w:t>n</w:t>
      </w:r>
      <w:r>
        <w:rPr>
          <w:spacing w:val="-106"/>
          <w:w w:val="99"/>
          <w:sz w:val="21"/>
        </w:rPr>
        <w:t>）</w:t>
      </w:r>
      <w:r>
        <w:rPr>
          <w:spacing w:val="-19"/>
          <w:w w:val="99"/>
          <w:sz w:val="21"/>
        </w:rPr>
        <w:t>”被用于包含“文件</w:t>
      </w:r>
      <w:r>
        <w:rPr>
          <w:spacing w:val="-3"/>
          <w:w w:val="99"/>
          <w:sz w:val="21"/>
        </w:rPr>
        <w:t>（</w:t>
      </w:r>
      <w:r>
        <w:rPr>
          <w:rFonts w:ascii="Times New Roman" w:hAnsi="Times New Roman" w:eastAsia="Times New Roman"/>
          <w:spacing w:val="1"/>
          <w:w w:val="99"/>
          <w:sz w:val="21"/>
        </w:rPr>
        <w:t>do</w:t>
      </w:r>
      <w:r>
        <w:rPr>
          <w:rFonts w:ascii="Times New Roman" w:hAnsi="Times New Roman" w:eastAsia="Times New Roman"/>
          <w:w w:val="99"/>
          <w:sz w:val="21"/>
        </w:rPr>
        <w:t>c</w:t>
      </w:r>
      <w:r>
        <w:rPr>
          <w:rFonts w:ascii="Times New Roman" w:hAnsi="Times New Roman" w:eastAsia="Times New Roman"/>
          <w:spacing w:val="-2"/>
          <w:w w:val="99"/>
          <w:sz w:val="21"/>
        </w:rPr>
        <w:t>um</w:t>
      </w:r>
      <w:r>
        <w:rPr>
          <w:rFonts w:ascii="Times New Roman" w:hAnsi="Times New Roman" w:eastAsia="Times New Roman"/>
          <w:w w:val="99"/>
          <w:sz w:val="21"/>
        </w:rPr>
        <w:t>e</w:t>
      </w:r>
      <w:r>
        <w:rPr>
          <w:rFonts w:ascii="Times New Roman" w:hAnsi="Times New Roman" w:eastAsia="Times New Roman"/>
          <w:spacing w:val="1"/>
          <w:w w:val="99"/>
          <w:sz w:val="21"/>
        </w:rPr>
        <w:t>n</w:t>
      </w:r>
      <w:r>
        <w:rPr>
          <w:rFonts w:ascii="Times New Roman" w:hAnsi="Times New Roman" w:eastAsia="Times New Roman"/>
          <w:spacing w:val="-1"/>
          <w:w w:val="99"/>
          <w:sz w:val="21"/>
        </w:rPr>
        <w:t>t</w:t>
      </w:r>
      <w:r>
        <w:rPr>
          <w:rFonts w:ascii="Times New Roman" w:hAnsi="Times New Roman" w:eastAsia="Times New Roman"/>
          <w:spacing w:val="2"/>
          <w:w w:val="99"/>
          <w:sz w:val="21"/>
        </w:rPr>
        <w:t>s</w:t>
      </w:r>
      <w:r>
        <w:rPr>
          <w:spacing w:val="-104"/>
          <w:w w:val="99"/>
          <w:sz w:val="21"/>
        </w:rPr>
        <w:t>）</w:t>
      </w:r>
      <w:r>
        <w:rPr>
          <w:spacing w:val="-33"/>
          <w:w w:val="99"/>
          <w:sz w:val="21"/>
        </w:rPr>
        <w:t>”和“记录</w:t>
      </w:r>
      <w:r>
        <w:rPr>
          <w:spacing w:val="-3"/>
          <w:w w:val="99"/>
          <w:sz w:val="21"/>
        </w:rPr>
        <w:t>（</w:t>
      </w:r>
      <w:r>
        <w:rPr>
          <w:rFonts w:ascii="Times New Roman" w:hAnsi="Times New Roman" w:eastAsia="Times New Roman"/>
          <w:w w:val="99"/>
          <w:sz w:val="21"/>
        </w:rPr>
        <w:t>rec</w:t>
      </w:r>
      <w:r>
        <w:rPr>
          <w:rFonts w:ascii="Times New Roman" w:hAnsi="Times New Roman" w:eastAsia="Times New Roman"/>
          <w:spacing w:val="1"/>
          <w:w w:val="99"/>
          <w:sz w:val="21"/>
        </w:rPr>
        <w:t>o</w:t>
      </w:r>
      <w:r>
        <w:rPr>
          <w:rFonts w:ascii="Times New Roman" w:hAnsi="Times New Roman" w:eastAsia="Times New Roman"/>
          <w:w w:val="99"/>
          <w:sz w:val="21"/>
        </w:rPr>
        <w:t>r</w:t>
      </w:r>
      <w:r>
        <w:rPr>
          <w:rFonts w:ascii="Times New Roman" w:hAnsi="Times New Roman" w:eastAsia="Times New Roman"/>
          <w:spacing w:val="1"/>
          <w:w w:val="99"/>
          <w:sz w:val="21"/>
        </w:rPr>
        <w:t>d</w:t>
      </w:r>
      <w:r>
        <w:rPr>
          <w:rFonts w:ascii="Times New Roman" w:hAnsi="Times New Roman" w:eastAsia="Times New Roman"/>
          <w:w w:val="99"/>
          <w:sz w:val="21"/>
        </w:rPr>
        <w:t>s</w:t>
      </w:r>
      <w:r>
        <w:rPr>
          <w:spacing w:val="-104"/>
          <w:w w:val="99"/>
          <w:sz w:val="21"/>
        </w:rPr>
        <w:t>）”</w:t>
      </w:r>
      <w:r>
        <w:rPr>
          <w:w w:val="99"/>
          <w:sz w:val="21"/>
        </w:rPr>
        <w:t>。</w:t>
      </w:r>
      <w:r>
        <w:rPr>
          <w:spacing w:val="2"/>
          <w:w w:val="99"/>
          <w:sz w:val="21"/>
        </w:rPr>
        <w:t>本标准使用短语“保留</w:t>
      </w:r>
      <w:r>
        <w:rPr>
          <w:spacing w:val="-1"/>
          <w:w w:val="99"/>
          <w:sz w:val="21"/>
        </w:rPr>
        <w:t>（</w:t>
      </w:r>
      <w:r>
        <w:rPr>
          <w:rFonts w:ascii="Times New Roman" w:hAnsi="Times New Roman" w:eastAsia="Times New Roman"/>
          <w:w w:val="99"/>
          <w:sz w:val="21"/>
        </w:rPr>
        <w:t>re</w:t>
      </w:r>
      <w:r>
        <w:rPr>
          <w:rFonts w:ascii="Times New Roman" w:hAnsi="Times New Roman" w:eastAsia="Times New Roman"/>
          <w:spacing w:val="-1"/>
          <w:w w:val="99"/>
          <w:sz w:val="21"/>
        </w:rPr>
        <w:t>t</w:t>
      </w:r>
      <w:r>
        <w:rPr>
          <w:rFonts w:ascii="Times New Roman" w:hAnsi="Times New Roman" w:eastAsia="Times New Roman"/>
          <w:w w:val="99"/>
          <w:sz w:val="21"/>
        </w:rPr>
        <w:t>a</w:t>
      </w:r>
      <w:r>
        <w:rPr>
          <w:rFonts w:ascii="Times New Roman" w:hAnsi="Times New Roman" w:eastAsia="Times New Roman"/>
          <w:spacing w:val="-1"/>
          <w:w w:val="99"/>
          <w:sz w:val="21"/>
        </w:rPr>
        <w:t>i</w:t>
      </w:r>
      <w:r>
        <w:rPr>
          <w:rFonts w:ascii="Times New Roman" w:hAnsi="Times New Roman" w:eastAsia="Times New Roman"/>
          <w:spacing w:val="3"/>
          <w:w w:val="99"/>
          <w:sz w:val="21"/>
        </w:rPr>
        <w:t>n</w:t>
      </w:r>
      <w:r>
        <w:rPr>
          <w:spacing w:val="2"/>
          <w:w w:val="99"/>
          <w:sz w:val="21"/>
        </w:rPr>
        <w:t>）</w:t>
      </w:r>
      <w:r>
        <w:rPr>
          <w:spacing w:val="-6"/>
          <w:w w:val="99"/>
          <w:sz w:val="21"/>
        </w:rPr>
        <w:t>文件化信息作为……的证据”来表示记录，“应作为文件化</w:t>
      </w:r>
      <w:r>
        <w:rPr>
          <w:spacing w:val="2"/>
          <w:w w:val="99"/>
          <w:sz w:val="21"/>
        </w:rPr>
        <w:t>信息予以保持（</w:t>
      </w:r>
      <w:r>
        <w:rPr>
          <w:rFonts w:ascii="Times New Roman" w:hAnsi="Times New Roman" w:eastAsia="Times New Roman"/>
          <w:w w:val="99"/>
          <w:sz w:val="21"/>
        </w:rPr>
        <w:t>ma</w:t>
      </w:r>
      <w:r>
        <w:rPr>
          <w:rFonts w:ascii="Times New Roman" w:hAnsi="Times New Roman" w:eastAsia="Times New Roman"/>
          <w:spacing w:val="-1"/>
          <w:w w:val="99"/>
          <w:sz w:val="21"/>
        </w:rPr>
        <w:t>i</w:t>
      </w:r>
      <w:r>
        <w:rPr>
          <w:rFonts w:ascii="Times New Roman" w:hAnsi="Times New Roman" w:eastAsia="Times New Roman"/>
          <w:spacing w:val="1"/>
          <w:w w:val="99"/>
          <w:sz w:val="21"/>
        </w:rPr>
        <w:t>n</w:t>
      </w:r>
      <w:r>
        <w:rPr>
          <w:rFonts w:ascii="Times New Roman" w:hAnsi="Times New Roman" w:eastAsia="Times New Roman"/>
          <w:spacing w:val="-1"/>
          <w:w w:val="99"/>
          <w:sz w:val="21"/>
        </w:rPr>
        <w:t>t</w:t>
      </w:r>
      <w:r>
        <w:rPr>
          <w:rFonts w:ascii="Times New Roman" w:hAnsi="Times New Roman" w:eastAsia="Times New Roman"/>
          <w:w w:val="99"/>
          <w:sz w:val="21"/>
        </w:rPr>
        <w:t>a</w:t>
      </w:r>
      <w:r>
        <w:rPr>
          <w:rFonts w:ascii="Times New Roman" w:hAnsi="Times New Roman" w:eastAsia="Times New Roman"/>
          <w:spacing w:val="-1"/>
          <w:w w:val="99"/>
          <w:sz w:val="21"/>
        </w:rPr>
        <w:t>i</w:t>
      </w:r>
      <w:r>
        <w:rPr>
          <w:rFonts w:ascii="Times New Roman" w:hAnsi="Times New Roman" w:eastAsia="Times New Roman"/>
          <w:spacing w:val="3"/>
          <w:w w:val="99"/>
          <w:sz w:val="21"/>
        </w:rPr>
        <w:t>n</w:t>
      </w:r>
      <w:r>
        <w:rPr>
          <w:spacing w:val="-101"/>
          <w:w w:val="99"/>
          <w:sz w:val="21"/>
        </w:rPr>
        <w:t>）</w:t>
      </w:r>
      <w:r>
        <w:rPr>
          <w:w w:val="99"/>
          <w:sz w:val="21"/>
        </w:rPr>
        <w:t>”</w:t>
      </w:r>
      <w:r>
        <w:rPr>
          <w:spacing w:val="7"/>
          <w:sz w:val="21"/>
        </w:rPr>
        <w:t> </w:t>
      </w:r>
      <w:r>
        <w:rPr>
          <w:spacing w:val="1"/>
          <w:w w:val="99"/>
          <w:sz w:val="21"/>
        </w:rPr>
        <w:t>来表示文件，包括程序。短语“以保留文件化信息作为……的</w:t>
      </w:r>
      <w:r>
        <w:rPr>
          <w:spacing w:val="-18"/>
          <w:w w:val="99"/>
          <w:sz w:val="21"/>
        </w:rPr>
        <w:t>证据</w:t>
      </w:r>
      <w:r>
        <w:rPr>
          <w:spacing w:val="-1"/>
          <w:w w:val="99"/>
          <w:sz w:val="21"/>
        </w:rPr>
        <w:t>（</w:t>
      </w:r>
      <w:r>
        <w:rPr>
          <w:rFonts w:ascii="Times New Roman" w:hAnsi="Times New Roman" w:eastAsia="Times New Roman"/>
          <w:spacing w:val="-1"/>
          <w:w w:val="99"/>
          <w:sz w:val="21"/>
        </w:rPr>
        <w:t>t</w:t>
      </w:r>
      <w:r>
        <w:rPr>
          <w:rFonts w:ascii="Times New Roman" w:hAnsi="Times New Roman" w:eastAsia="Times New Roman"/>
          <w:w w:val="99"/>
          <w:sz w:val="21"/>
        </w:rPr>
        <w:t>o</w:t>
      </w:r>
      <w:r>
        <w:rPr>
          <w:rFonts w:ascii="Times New Roman" w:hAnsi="Times New Roman" w:eastAsia="Times New Roman"/>
          <w:spacing w:val="1"/>
          <w:sz w:val="21"/>
        </w:rPr>
        <w:t> </w:t>
      </w:r>
      <w:r>
        <w:rPr>
          <w:rFonts w:ascii="Times New Roman" w:hAnsi="Times New Roman" w:eastAsia="Times New Roman"/>
          <w:w w:val="99"/>
          <w:sz w:val="21"/>
        </w:rPr>
        <w:t>re</w:t>
      </w:r>
      <w:r>
        <w:rPr>
          <w:rFonts w:ascii="Times New Roman" w:hAnsi="Times New Roman" w:eastAsia="Times New Roman"/>
          <w:spacing w:val="-1"/>
          <w:w w:val="99"/>
          <w:sz w:val="21"/>
        </w:rPr>
        <w:t>t</w:t>
      </w:r>
      <w:r>
        <w:rPr>
          <w:rFonts w:ascii="Times New Roman" w:hAnsi="Times New Roman" w:eastAsia="Times New Roman"/>
          <w:w w:val="99"/>
          <w:sz w:val="21"/>
        </w:rPr>
        <w:t>a</w:t>
      </w:r>
      <w:r>
        <w:rPr>
          <w:rFonts w:ascii="Times New Roman" w:hAnsi="Times New Roman" w:eastAsia="Times New Roman"/>
          <w:spacing w:val="-1"/>
          <w:w w:val="99"/>
          <w:sz w:val="21"/>
        </w:rPr>
        <w:t>i</w:t>
      </w:r>
      <w:r>
        <w:rPr>
          <w:rFonts w:ascii="Times New Roman" w:hAnsi="Times New Roman" w:eastAsia="Times New Roman"/>
          <w:w w:val="99"/>
          <w:sz w:val="21"/>
        </w:rPr>
        <w:t>n</w:t>
      </w:r>
      <w:r>
        <w:rPr>
          <w:rFonts w:ascii="Times New Roman" w:hAnsi="Times New Roman" w:eastAsia="Times New Roman"/>
          <w:spacing w:val="3"/>
          <w:sz w:val="21"/>
        </w:rPr>
        <w:t> </w:t>
      </w:r>
      <w:r>
        <w:rPr>
          <w:rFonts w:ascii="Times New Roman" w:hAnsi="Times New Roman" w:eastAsia="Times New Roman"/>
          <w:spacing w:val="1"/>
          <w:w w:val="99"/>
          <w:sz w:val="21"/>
        </w:rPr>
        <w:t>do</w:t>
      </w:r>
      <w:r>
        <w:rPr>
          <w:rFonts w:ascii="Times New Roman" w:hAnsi="Times New Roman" w:eastAsia="Times New Roman"/>
          <w:w w:val="99"/>
          <w:sz w:val="21"/>
        </w:rPr>
        <w:t>c</w:t>
      </w:r>
      <w:r>
        <w:rPr>
          <w:rFonts w:ascii="Times New Roman" w:hAnsi="Times New Roman" w:eastAsia="Times New Roman"/>
          <w:spacing w:val="-2"/>
          <w:w w:val="99"/>
          <w:sz w:val="21"/>
        </w:rPr>
        <w:t>um</w:t>
      </w:r>
      <w:r>
        <w:rPr>
          <w:rFonts w:ascii="Times New Roman" w:hAnsi="Times New Roman" w:eastAsia="Times New Roman"/>
          <w:w w:val="99"/>
          <w:sz w:val="21"/>
        </w:rPr>
        <w:t>e</w:t>
      </w:r>
      <w:r>
        <w:rPr>
          <w:rFonts w:ascii="Times New Roman" w:hAnsi="Times New Roman" w:eastAsia="Times New Roman"/>
          <w:spacing w:val="1"/>
          <w:w w:val="99"/>
          <w:sz w:val="21"/>
        </w:rPr>
        <w:t>n</w:t>
      </w:r>
      <w:r>
        <w:rPr>
          <w:rFonts w:ascii="Times New Roman" w:hAnsi="Times New Roman" w:eastAsia="Times New Roman"/>
          <w:spacing w:val="-1"/>
          <w:w w:val="99"/>
          <w:sz w:val="21"/>
        </w:rPr>
        <w:t>t</w:t>
      </w:r>
      <w:r>
        <w:rPr>
          <w:rFonts w:ascii="Times New Roman" w:hAnsi="Times New Roman" w:eastAsia="Times New Roman"/>
          <w:w w:val="99"/>
          <w:sz w:val="21"/>
        </w:rPr>
        <w:t>ed</w:t>
      </w:r>
      <w:r>
        <w:rPr>
          <w:rFonts w:ascii="Times New Roman" w:hAnsi="Times New Roman" w:eastAsia="Times New Roman"/>
          <w:spacing w:val="1"/>
          <w:sz w:val="21"/>
        </w:rPr>
        <w:t> </w:t>
      </w:r>
      <w:r>
        <w:rPr>
          <w:rFonts w:ascii="Times New Roman" w:hAnsi="Times New Roman" w:eastAsia="Times New Roman"/>
          <w:spacing w:val="-1"/>
          <w:w w:val="99"/>
          <w:sz w:val="21"/>
        </w:rPr>
        <w:t>i</w:t>
      </w:r>
      <w:r>
        <w:rPr>
          <w:rFonts w:ascii="Times New Roman" w:hAnsi="Times New Roman" w:eastAsia="Times New Roman"/>
          <w:spacing w:val="1"/>
          <w:w w:val="99"/>
          <w:sz w:val="21"/>
        </w:rPr>
        <w:t>n</w:t>
      </w:r>
      <w:r>
        <w:rPr>
          <w:rFonts w:ascii="Times New Roman" w:hAnsi="Times New Roman" w:eastAsia="Times New Roman"/>
          <w:w w:val="99"/>
          <w:sz w:val="21"/>
        </w:rPr>
        <w:t>f</w:t>
      </w:r>
      <w:r>
        <w:rPr>
          <w:rFonts w:ascii="Times New Roman" w:hAnsi="Times New Roman" w:eastAsia="Times New Roman"/>
          <w:spacing w:val="1"/>
          <w:w w:val="99"/>
          <w:sz w:val="21"/>
        </w:rPr>
        <w:t>o</w:t>
      </w:r>
      <w:r>
        <w:rPr>
          <w:rFonts w:ascii="Times New Roman" w:hAnsi="Times New Roman" w:eastAsia="Times New Roman"/>
          <w:w w:val="99"/>
          <w:sz w:val="21"/>
        </w:rPr>
        <w:t>rma</w:t>
      </w:r>
      <w:r>
        <w:rPr>
          <w:rFonts w:ascii="Times New Roman" w:hAnsi="Times New Roman" w:eastAsia="Times New Roman"/>
          <w:spacing w:val="-1"/>
          <w:w w:val="99"/>
          <w:sz w:val="21"/>
        </w:rPr>
        <w:t>ti</w:t>
      </w:r>
      <w:r>
        <w:rPr>
          <w:rFonts w:ascii="Times New Roman" w:hAnsi="Times New Roman" w:eastAsia="Times New Roman"/>
          <w:spacing w:val="1"/>
          <w:w w:val="99"/>
          <w:sz w:val="21"/>
        </w:rPr>
        <w:t>o</w:t>
      </w:r>
      <w:r>
        <w:rPr>
          <w:rFonts w:ascii="Times New Roman" w:hAnsi="Times New Roman" w:eastAsia="Times New Roman"/>
          <w:w w:val="99"/>
          <w:sz w:val="21"/>
        </w:rPr>
        <w:t>n</w:t>
      </w:r>
      <w:r>
        <w:rPr>
          <w:rFonts w:ascii="Times New Roman" w:hAnsi="Times New Roman" w:eastAsia="Times New Roman"/>
          <w:spacing w:val="3"/>
          <w:sz w:val="21"/>
        </w:rPr>
        <w:t> </w:t>
      </w:r>
      <w:r>
        <w:rPr>
          <w:rFonts w:ascii="Times New Roman" w:hAnsi="Times New Roman" w:eastAsia="Times New Roman"/>
          <w:w w:val="99"/>
          <w:sz w:val="21"/>
        </w:rPr>
        <w:t>as</w:t>
      </w:r>
      <w:r>
        <w:rPr>
          <w:rFonts w:ascii="Times New Roman" w:hAnsi="Times New Roman" w:eastAsia="Times New Roman"/>
          <w:sz w:val="21"/>
        </w:rPr>
        <w:t> </w:t>
      </w:r>
      <w:r>
        <w:rPr>
          <w:rFonts w:ascii="Times New Roman" w:hAnsi="Times New Roman" w:eastAsia="Times New Roman"/>
          <w:w w:val="99"/>
          <w:sz w:val="21"/>
        </w:rPr>
        <w:t>e</w:t>
      </w:r>
      <w:r>
        <w:rPr>
          <w:rFonts w:ascii="Times New Roman" w:hAnsi="Times New Roman" w:eastAsia="Times New Roman"/>
          <w:spacing w:val="-2"/>
          <w:w w:val="99"/>
          <w:sz w:val="21"/>
        </w:rPr>
        <w:t>v</w:t>
      </w:r>
      <w:r>
        <w:rPr>
          <w:rFonts w:ascii="Times New Roman" w:hAnsi="Times New Roman" w:eastAsia="Times New Roman"/>
          <w:spacing w:val="-1"/>
          <w:w w:val="99"/>
          <w:sz w:val="21"/>
        </w:rPr>
        <w:t>i</w:t>
      </w:r>
      <w:r>
        <w:rPr>
          <w:rFonts w:ascii="Times New Roman" w:hAnsi="Times New Roman" w:eastAsia="Times New Roman"/>
          <w:spacing w:val="1"/>
          <w:w w:val="99"/>
          <w:sz w:val="21"/>
        </w:rPr>
        <w:t>d</w:t>
      </w:r>
      <w:r>
        <w:rPr>
          <w:rFonts w:ascii="Times New Roman" w:hAnsi="Times New Roman" w:eastAsia="Times New Roman"/>
          <w:w w:val="99"/>
          <w:sz w:val="21"/>
        </w:rPr>
        <w:t>e</w:t>
      </w:r>
      <w:r>
        <w:rPr>
          <w:rFonts w:ascii="Times New Roman" w:hAnsi="Times New Roman" w:eastAsia="Times New Roman"/>
          <w:spacing w:val="1"/>
          <w:w w:val="99"/>
          <w:sz w:val="21"/>
        </w:rPr>
        <w:t>n</w:t>
      </w:r>
      <w:r>
        <w:rPr>
          <w:rFonts w:ascii="Times New Roman" w:hAnsi="Times New Roman" w:eastAsia="Times New Roman"/>
          <w:spacing w:val="-1"/>
          <w:w w:val="99"/>
          <w:sz w:val="21"/>
        </w:rPr>
        <w:t>ti</w:t>
      </w:r>
      <w:r>
        <w:rPr>
          <w:rFonts w:ascii="Times New Roman" w:hAnsi="Times New Roman" w:eastAsia="Times New Roman"/>
          <w:w w:val="99"/>
          <w:sz w:val="21"/>
        </w:rPr>
        <w:t>ary</w:t>
      </w:r>
      <w:r>
        <w:rPr>
          <w:rFonts w:ascii="Times New Roman" w:hAnsi="Times New Roman" w:eastAsia="Times New Roman"/>
          <w:spacing w:val="1"/>
          <w:sz w:val="21"/>
        </w:rPr>
        <w:t> </w:t>
      </w:r>
      <w:r>
        <w:rPr>
          <w:rFonts w:ascii="Times New Roman" w:hAnsi="Times New Roman" w:eastAsia="Times New Roman"/>
          <w:spacing w:val="1"/>
          <w:w w:val="99"/>
          <w:sz w:val="21"/>
        </w:rPr>
        <w:t>o</w:t>
      </w:r>
      <w:r>
        <w:rPr>
          <w:rFonts w:ascii="Times New Roman" w:hAnsi="Times New Roman" w:eastAsia="Times New Roman"/>
          <w:w w:val="99"/>
          <w:sz w:val="21"/>
        </w:rPr>
        <w:t>f</w:t>
      </w:r>
      <w:r>
        <w:rPr>
          <w:rFonts w:ascii="Times New Roman" w:hAnsi="Times New Roman" w:eastAsia="Times New Roman"/>
          <w:sz w:val="21"/>
        </w:rPr>
        <w:t>  </w:t>
      </w:r>
      <w:r>
        <w:rPr>
          <w:spacing w:val="2"/>
          <w:w w:val="99"/>
          <w:sz w:val="21"/>
        </w:rPr>
        <w:t>…</w:t>
      </w:r>
      <w:r>
        <w:rPr>
          <w:spacing w:val="-104"/>
          <w:w w:val="99"/>
          <w:sz w:val="21"/>
        </w:rPr>
        <w:t>）</w:t>
      </w:r>
      <w:r>
        <w:rPr>
          <w:spacing w:val="-6"/>
          <w:w w:val="99"/>
          <w:sz w:val="21"/>
        </w:rPr>
        <w:t>”并非要求所保留的信息将满足法</w:t>
      </w:r>
      <w:r>
        <w:rPr>
          <w:sz w:val="21"/>
        </w:rPr>
        <w:t>律法规的证据要求，而旨在规定所需保留的记录的类型；</w:t>
      </w:r>
    </w:p>
    <w:p>
      <w:pPr>
        <w:pStyle w:val="ListParagraph"/>
        <w:numPr>
          <w:ilvl w:val="2"/>
          <w:numId w:val="49"/>
        </w:numPr>
        <w:tabs>
          <w:tab w:pos="1073" w:val="left" w:leader="none"/>
        </w:tabs>
        <w:spacing w:line="278" w:lineRule="auto" w:before="0" w:after="0"/>
        <w:ind w:left="1128" w:right="494" w:hanging="430"/>
        <w:jc w:val="both"/>
        <w:rPr>
          <w:sz w:val="21"/>
        </w:rPr>
      </w:pPr>
      <w:r>
        <w:rPr>
          <w:spacing w:val="2"/>
          <w:w w:val="99"/>
          <w:sz w:val="21"/>
        </w:rPr>
        <w:t>“在组织共同控制下</w:t>
      </w:r>
      <w:r>
        <w:rPr>
          <w:spacing w:val="4"/>
          <w:w w:val="99"/>
          <w:sz w:val="21"/>
        </w:rPr>
        <w:t>（</w:t>
      </w:r>
      <w:r>
        <w:rPr>
          <w:rFonts w:ascii="Times New Roman" w:hAnsi="Times New Roman" w:eastAsia="Times New Roman"/>
          <w:spacing w:val="1"/>
          <w:w w:val="99"/>
          <w:sz w:val="21"/>
        </w:rPr>
        <w:t>und</w:t>
      </w:r>
      <w:r>
        <w:rPr>
          <w:rFonts w:ascii="Times New Roman" w:hAnsi="Times New Roman" w:eastAsia="Times New Roman"/>
          <w:spacing w:val="-2"/>
          <w:w w:val="99"/>
          <w:sz w:val="21"/>
        </w:rPr>
        <w:t>e</w:t>
      </w:r>
      <w:r>
        <w:rPr>
          <w:rFonts w:ascii="Times New Roman" w:hAnsi="Times New Roman" w:eastAsia="Times New Roman"/>
          <w:w w:val="99"/>
          <w:sz w:val="21"/>
        </w:rPr>
        <w:t>r</w:t>
      </w:r>
      <w:r>
        <w:rPr>
          <w:rFonts w:ascii="Times New Roman" w:hAnsi="Times New Roman" w:eastAsia="Times New Roman"/>
          <w:spacing w:val="2"/>
          <w:sz w:val="21"/>
        </w:rPr>
        <w:t> </w:t>
      </w:r>
      <w:r>
        <w:rPr>
          <w:rFonts w:ascii="Times New Roman" w:hAnsi="Times New Roman" w:eastAsia="Times New Roman"/>
          <w:spacing w:val="-1"/>
          <w:w w:val="99"/>
          <w:sz w:val="21"/>
        </w:rPr>
        <w:t>t</w:t>
      </w:r>
      <w:r>
        <w:rPr>
          <w:rFonts w:ascii="Times New Roman" w:hAnsi="Times New Roman" w:eastAsia="Times New Roman"/>
          <w:spacing w:val="1"/>
          <w:w w:val="99"/>
          <w:sz w:val="21"/>
        </w:rPr>
        <w:t>h</w:t>
      </w:r>
      <w:r>
        <w:rPr>
          <w:rFonts w:ascii="Times New Roman" w:hAnsi="Times New Roman" w:eastAsia="Times New Roman"/>
          <w:w w:val="99"/>
          <w:sz w:val="21"/>
        </w:rPr>
        <w:t>e</w:t>
      </w:r>
      <w:r>
        <w:rPr>
          <w:rFonts w:ascii="Times New Roman" w:hAnsi="Times New Roman" w:eastAsia="Times New Roman"/>
          <w:spacing w:val="1"/>
          <w:sz w:val="21"/>
        </w:rPr>
        <w:t> </w:t>
      </w:r>
      <w:r>
        <w:rPr>
          <w:rFonts w:ascii="Times New Roman" w:hAnsi="Times New Roman" w:eastAsia="Times New Roman"/>
          <w:w w:val="99"/>
          <w:sz w:val="21"/>
        </w:rPr>
        <w:t>s</w:t>
      </w:r>
      <w:r>
        <w:rPr>
          <w:rFonts w:ascii="Times New Roman" w:hAnsi="Times New Roman" w:eastAsia="Times New Roman"/>
          <w:spacing w:val="1"/>
          <w:w w:val="99"/>
          <w:sz w:val="21"/>
        </w:rPr>
        <w:t>h</w:t>
      </w:r>
      <w:r>
        <w:rPr>
          <w:rFonts w:ascii="Times New Roman" w:hAnsi="Times New Roman" w:eastAsia="Times New Roman"/>
          <w:w w:val="99"/>
          <w:sz w:val="21"/>
        </w:rPr>
        <w:t>ared</w:t>
      </w:r>
      <w:r>
        <w:rPr>
          <w:rFonts w:ascii="Times New Roman" w:hAnsi="Times New Roman" w:eastAsia="Times New Roman"/>
          <w:spacing w:val="3"/>
          <w:sz w:val="21"/>
        </w:rPr>
        <w:t> </w:t>
      </w:r>
      <w:r>
        <w:rPr>
          <w:rFonts w:ascii="Times New Roman" w:hAnsi="Times New Roman" w:eastAsia="Times New Roman"/>
          <w:w w:val="99"/>
          <w:sz w:val="21"/>
        </w:rPr>
        <w:t>c</w:t>
      </w:r>
      <w:r>
        <w:rPr>
          <w:rFonts w:ascii="Times New Roman" w:hAnsi="Times New Roman" w:eastAsia="Times New Roman"/>
          <w:spacing w:val="1"/>
          <w:w w:val="99"/>
          <w:sz w:val="21"/>
        </w:rPr>
        <w:t>on</w:t>
      </w:r>
      <w:r>
        <w:rPr>
          <w:rFonts w:ascii="Times New Roman" w:hAnsi="Times New Roman" w:eastAsia="Times New Roman"/>
          <w:spacing w:val="-1"/>
          <w:w w:val="99"/>
          <w:sz w:val="21"/>
        </w:rPr>
        <w:t>t</w:t>
      </w:r>
      <w:r>
        <w:rPr>
          <w:rFonts w:ascii="Times New Roman" w:hAnsi="Times New Roman" w:eastAsia="Times New Roman"/>
          <w:w w:val="99"/>
          <w:sz w:val="21"/>
        </w:rPr>
        <w:t>r</w:t>
      </w:r>
      <w:r>
        <w:rPr>
          <w:rFonts w:ascii="Times New Roman" w:hAnsi="Times New Roman" w:eastAsia="Times New Roman"/>
          <w:spacing w:val="1"/>
          <w:w w:val="99"/>
          <w:sz w:val="21"/>
        </w:rPr>
        <w:t>o</w:t>
      </w:r>
      <w:r>
        <w:rPr>
          <w:rFonts w:ascii="Times New Roman" w:hAnsi="Times New Roman" w:eastAsia="Times New Roman"/>
          <w:w w:val="99"/>
          <w:sz w:val="21"/>
        </w:rPr>
        <w:t>l</w:t>
      </w:r>
      <w:r>
        <w:rPr>
          <w:rFonts w:ascii="Times New Roman" w:hAnsi="Times New Roman" w:eastAsia="Times New Roman"/>
          <w:spacing w:val="-1"/>
          <w:sz w:val="21"/>
        </w:rPr>
        <w:t> </w:t>
      </w:r>
      <w:r>
        <w:rPr>
          <w:rFonts w:ascii="Times New Roman" w:hAnsi="Times New Roman" w:eastAsia="Times New Roman"/>
          <w:spacing w:val="1"/>
          <w:w w:val="99"/>
          <w:sz w:val="21"/>
        </w:rPr>
        <w:t>o</w:t>
      </w:r>
      <w:r>
        <w:rPr>
          <w:rFonts w:ascii="Times New Roman" w:hAnsi="Times New Roman" w:eastAsia="Times New Roman"/>
          <w:w w:val="99"/>
          <w:sz w:val="21"/>
        </w:rPr>
        <w:t>f</w:t>
      </w:r>
      <w:r>
        <w:rPr>
          <w:rFonts w:ascii="Times New Roman" w:hAnsi="Times New Roman" w:eastAsia="Times New Roman"/>
          <w:spacing w:val="2"/>
          <w:sz w:val="21"/>
        </w:rPr>
        <w:t> </w:t>
      </w:r>
      <w:r>
        <w:rPr>
          <w:rFonts w:ascii="Times New Roman" w:hAnsi="Times New Roman" w:eastAsia="Times New Roman"/>
          <w:spacing w:val="-1"/>
          <w:w w:val="99"/>
          <w:sz w:val="21"/>
        </w:rPr>
        <w:t>t</w:t>
      </w:r>
      <w:r>
        <w:rPr>
          <w:rFonts w:ascii="Times New Roman" w:hAnsi="Times New Roman" w:eastAsia="Times New Roman"/>
          <w:spacing w:val="1"/>
          <w:w w:val="99"/>
          <w:sz w:val="21"/>
        </w:rPr>
        <w:t>h</w:t>
      </w:r>
      <w:r>
        <w:rPr>
          <w:rFonts w:ascii="Times New Roman" w:hAnsi="Times New Roman" w:eastAsia="Times New Roman"/>
          <w:w w:val="99"/>
          <w:sz w:val="21"/>
        </w:rPr>
        <w:t>e</w:t>
      </w:r>
      <w:r>
        <w:rPr>
          <w:rFonts w:ascii="Times New Roman" w:hAnsi="Times New Roman" w:eastAsia="Times New Roman"/>
          <w:spacing w:val="3"/>
          <w:sz w:val="21"/>
        </w:rPr>
        <w:t> </w:t>
      </w:r>
      <w:r>
        <w:rPr>
          <w:rFonts w:ascii="Times New Roman" w:hAnsi="Times New Roman" w:eastAsia="Times New Roman"/>
          <w:spacing w:val="1"/>
          <w:w w:val="99"/>
          <w:sz w:val="21"/>
        </w:rPr>
        <w:t>o</w:t>
      </w:r>
      <w:r>
        <w:rPr>
          <w:rFonts w:ascii="Times New Roman" w:hAnsi="Times New Roman" w:eastAsia="Times New Roman"/>
          <w:spacing w:val="-3"/>
          <w:w w:val="99"/>
          <w:sz w:val="21"/>
        </w:rPr>
        <w:t>r</w:t>
      </w:r>
      <w:r>
        <w:rPr>
          <w:rFonts w:ascii="Times New Roman" w:hAnsi="Times New Roman" w:eastAsia="Times New Roman"/>
          <w:spacing w:val="-4"/>
          <w:w w:val="99"/>
          <w:sz w:val="21"/>
        </w:rPr>
        <w:t>g</w:t>
      </w:r>
      <w:r>
        <w:rPr>
          <w:rFonts w:ascii="Times New Roman" w:hAnsi="Times New Roman" w:eastAsia="Times New Roman"/>
          <w:w w:val="99"/>
          <w:sz w:val="21"/>
        </w:rPr>
        <w:t>a</w:t>
      </w:r>
      <w:r>
        <w:rPr>
          <w:rFonts w:ascii="Times New Roman" w:hAnsi="Times New Roman" w:eastAsia="Times New Roman"/>
          <w:spacing w:val="1"/>
          <w:w w:val="99"/>
          <w:sz w:val="21"/>
        </w:rPr>
        <w:t>n</w:t>
      </w:r>
      <w:r>
        <w:rPr>
          <w:rFonts w:ascii="Times New Roman" w:hAnsi="Times New Roman" w:eastAsia="Times New Roman"/>
          <w:spacing w:val="-1"/>
          <w:w w:val="99"/>
          <w:sz w:val="21"/>
        </w:rPr>
        <w:t>i</w:t>
      </w:r>
      <w:r>
        <w:rPr>
          <w:rFonts w:ascii="Times New Roman" w:hAnsi="Times New Roman" w:eastAsia="Times New Roman"/>
          <w:w w:val="99"/>
          <w:sz w:val="21"/>
        </w:rPr>
        <w:t>za</w:t>
      </w:r>
      <w:r>
        <w:rPr>
          <w:rFonts w:ascii="Times New Roman" w:hAnsi="Times New Roman" w:eastAsia="Times New Roman"/>
          <w:spacing w:val="-1"/>
          <w:w w:val="99"/>
          <w:sz w:val="21"/>
        </w:rPr>
        <w:t>ti</w:t>
      </w:r>
      <w:r>
        <w:rPr>
          <w:rFonts w:ascii="Times New Roman" w:hAnsi="Times New Roman" w:eastAsia="Times New Roman"/>
          <w:spacing w:val="1"/>
          <w:w w:val="99"/>
          <w:sz w:val="21"/>
        </w:rPr>
        <w:t>o</w:t>
      </w:r>
      <w:r>
        <w:rPr>
          <w:rFonts w:ascii="Times New Roman" w:hAnsi="Times New Roman" w:eastAsia="Times New Roman"/>
          <w:spacing w:val="3"/>
          <w:w w:val="99"/>
          <w:sz w:val="21"/>
        </w:rPr>
        <w:t>n</w:t>
      </w:r>
      <w:r>
        <w:rPr>
          <w:spacing w:val="-101"/>
          <w:w w:val="99"/>
          <w:sz w:val="21"/>
        </w:rPr>
        <w:t>）</w:t>
      </w:r>
      <w:r>
        <w:rPr>
          <w:spacing w:val="1"/>
          <w:w w:val="99"/>
          <w:sz w:val="21"/>
        </w:rPr>
        <w:t>”的活动是指，按照法律法</w:t>
      </w:r>
      <w:r>
        <w:rPr>
          <w:spacing w:val="-2"/>
          <w:sz w:val="21"/>
        </w:rPr>
        <w:t>规要求和其他要求，对于所开展的工作，就其职业健康安全绩效方面，组织与他方共同控制工作的方式或方法，或者共同把握工作方向。</w:t>
      </w:r>
    </w:p>
    <w:p>
      <w:pPr>
        <w:pStyle w:val="BodyText"/>
        <w:spacing w:line="278" w:lineRule="auto" w:before="0"/>
        <w:ind w:left="278" w:right="506" w:firstLine="420"/>
      </w:pPr>
      <w:r>
        <w:rPr>
          <w:w w:val="95"/>
        </w:rPr>
        <w:t>组织可按照职业健康安全管理体系的相关要求，批准使用特定的术语及其含义。但如果使用标准   </w:t>
      </w:r>
      <w:r>
        <w:rPr/>
        <w:t>之外的这些术语，则仍需要符合本标准。</w:t>
      </w:r>
    </w:p>
    <w:p>
      <w:pPr>
        <w:pStyle w:val="ListParagraph"/>
        <w:numPr>
          <w:ilvl w:val="1"/>
          <w:numId w:val="49"/>
        </w:numPr>
        <w:tabs>
          <w:tab w:pos="699" w:val="left" w:leader="none"/>
        </w:tabs>
        <w:spacing w:line="240" w:lineRule="auto" w:before="155" w:after="0"/>
        <w:ind w:left="698" w:right="0" w:hanging="421"/>
        <w:jc w:val="left"/>
        <w:rPr>
          <w:rFonts w:ascii="黑体" w:eastAsia="黑体" w:hint="eastAsia"/>
          <w:sz w:val="21"/>
        </w:rPr>
      </w:pPr>
      <w:bookmarkStart w:name="A.4 组织所处的环境" w:id="173"/>
      <w:bookmarkEnd w:id="173"/>
      <w:r>
        <w:rPr/>
      </w:r>
      <w:bookmarkStart w:name="A.4 组织所处的环境" w:id="174"/>
      <w:bookmarkEnd w:id="174"/>
      <w:r>
        <w:rPr>
          <w:rFonts w:ascii="黑体" w:eastAsia="黑体" w:hint="eastAsia"/>
          <w:sz w:val="21"/>
        </w:rPr>
        <w:t>组织所处的环境</w:t>
      </w:r>
    </w:p>
    <w:p>
      <w:pPr>
        <w:pStyle w:val="BodyText"/>
        <w:spacing w:before="6"/>
        <w:rPr>
          <w:rFonts w:ascii="黑体"/>
          <w:sz w:val="15"/>
        </w:rPr>
      </w:pPr>
    </w:p>
    <w:p>
      <w:pPr>
        <w:pStyle w:val="BodyText"/>
        <w:spacing w:before="0"/>
        <w:ind w:left="278"/>
        <w:rPr>
          <w:rFonts w:ascii="黑体" w:eastAsia="黑体" w:hint="eastAsia"/>
        </w:rPr>
      </w:pPr>
      <w:bookmarkStart w:name="A 4.1 理解组织及其所处的环境" w:id="175"/>
      <w:bookmarkEnd w:id="175"/>
      <w:r>
        <w:rPr/>
      </w:r>
      <w:r>
        <w:rPr>
          <w:rFonts w:ascii="黑体" w:eastAsia="黑体" w:hint="eastAsia"/>
        </w:rPr>
        <w:t>A 4.1 理解组织及其所处的环境</w:t>
      </w:r>
    </w:p>
    <w:p>
      <w:pPr>
        <w:pStyle w:val="BodyText"/>
        <w:spacing w:line="278" w:lineRule="auto"/>
        <w:ind w:left="278" w:right="506" w:firstLine="420"/>
        <w:jc w:val="both"/>
      </w:pPr>
      <w:r>
        <w:rPr>
          <w:w w:val="95"/>
        </w:rPr>
        <w:t>对组织所处环境的理解被用于建立、实施、保持和持续改进其职业健康安全管理体系。内部和外   部议题可能是正面的或负面的，并包含了能够影响职业健康安全管理体系的条件、特征或变化情况，   </w:t>
      </w:r>
      <w:r>
        <w:rPr/>
        <w:t>例如：</w:t>
      </w:r>
    </w:p>
    <w:p>
      <w:pPr>
        <w:spacing w:after="0" w:line="278" w:lineRule="auto"/>
        <w:jc w:val="both"/>
        <w:sectPr>
          <w:pgSz w:w="11910" w:h="16840"/>
          <w:pgMar w:header="1442" w:footer="850" w:top="1660" w:bottom="1040" w:left="1140" w:right="740"/>
        </w:sectPr>
      </w:pPr>
    </w:p>
    <w:p>
      <w:pPr>
        <w:pStyle w:val="ListParagraph"/>
        <w:numPr>
          <w:ilvl w:val="0"/>
          <w:numId w:val="50"/>
        </w:numPr>
        <w:tabs>
          <w:tab w:pos="1059" w:val="left" w:leader="none"/>
        </w:tabs>
        <w:spacing w:line="240" w:lineRule="auto" w:before="157" w:after="0"/>
        <w:ind w:left="1058" w:right="0" w:hanging="361"/>
        <w:jc w:val="left"/>
        <w:rPr>
          <w:sz w:val="21"/>
        </w:rPr>
      </w:pPr>
      <w:r>
        <w:rPr>
          <w:sz w:val="21"/>
        </w:rPr>
        <w:t>外部议题，如：</w:t>
      </w:r>
    </w:p>
    <w:p>
      <w:pPr>
        <w:pStyle w:val="ListParagraph"/>
        <w:numPr>
          <w:ilvl w:val="1"/>
          <w:numId w:val="50"/>
        </w:numPr>
        <w:tabs>
          <w:tab w:pos="1479" w:val="left" w:leader="none"/>
        </w:tabs>
        <w:spacing w:line="278" w:lineRule="auto" w:before="43" w:after="0"/>
        <w:ind w:left="1478" w:right="398" w:hanging="360"/>
        <w:jc w:val="left"/>
        <w:rPr>
          <w:sz w:val="21"/>
        </w:rPr>
      </w:pPr>
      <w:r>
        <w:rPr>
          <w:spacing w:val="-5"/>
          <w:w w:val="95"/>
          <w:sz w:val="21"/>
        </w:rPr>
        <w:t>文化、社会、政治、法律、金融、技术、经济和自然环境以及市场竞争，无论是国际的、  </w:t>
      </w:r>
      <w:r>
        <w:rPr>
          <w:spacing w:val="-5"/>
          <w:sz w:val="21"/>
        </w:rPr>
        <w:t>国内的、区域的，还是地方的；</w:t>
      </w:r>
    </w:p>
    <w:p>
      <w:pPr>
        <w:pStyle w:val="ListParagraph"/>
        <w:numPr>
          <w:ilvl w:val="1"/>
          <w:numId w:val="50"/>
        </w:numPr>
        <w:tabs>
          <w:tab w:pos="1479" w:val="left" w:leader="none"/>
        </w:tabs>
        <w:spacing w:line="278" w:lineRule="auto" w:before="0" w:after="0"/>
        <w:ind w:left="1478" w:right="506" w:hanging="360"/>
        <w:jc w:val="left"/>
        <w:rPr>
          <w:sz w:val="21"/>
        </w:rPr>
      </w:pPr>
      <w:r>
        <w:rPr>
          <w:sz w:val="21"/>
        </w:rPr>
        <w:t>新加入的竞争对手、承包方、分包方、供方、合作伙伴和供应商，以及新技术、新法律和新出现的职业；</w:t>
      </w:r>
    </w:p>
    <w:p>
      <w:pPr>
        <w:pStyle w:val="ListParagraph"/>
        <w:numPr>
          <w:ilvl w:val="1"/>
          <w:numId w:val="50"/>
        </w:numPr>
        <w:tabs>
          <w:tab w:pos="1479" w:val="left" w:leader="none"/>
        </w:tabs>
        <w:spacing w:line="269" w:lineRule="exact" w:before="0" w:after="0"/>
        <w:ind w:left="1478" w:right="0" w:hanging="361"/>
        <w:jc w:val="left"/>
        <w:rPr>
          <w:sz w:val="21"/>
        </w:rPr>
      </w:pPr>
      <w:r>
        <w:rPr>
          <w:sz w:val="21"/>
        </w:rPr>
        <w:t>有关产品的新知识及其对健康和安全的影响；</w:t>
      </w:r>
    </w:p>
    <w:p>
      <w:pPr>
        <w:pStyle w:val="ListParagraph"/>
        <w:numPr>
          <w:ilvl w:val="1"/>
          <w:numId w:val="50"/>
        </w:numPr>
        <w:tabs>
          <w:tab w:pos="1479" w:val="left" w:leader="none"/>
        </w:tabs>
        <w:spacing w:line="240" w:lineRule="auto" w:before="43" w:after="0"/>
        <w:ind w:left="1478" w:right="0" w:hanging="361"/>
        <w:jc w:val="left"/>
        <w:rPr>
          <w:sz w:val="21"/>
        </w:rPr>
      </w:pPr>
      <w:r>
        <w:rPr>
          <w:sz w:val="21"/>
        </w:rPr>
        <w:t>与行业或专业相关的、对组织有影响的关键驱动因素和趋势；</w:t>
      </w:r>
    </w:p>
    <w:p>
      <w:pPr>
        <w:pStyle w:val="ListParagraph"/>
        <w:numPr>
          <w:ilvl w:val="1"/>
          <w:numId w:val="50"/>
        </w:numPr>
        <w:tabs>
          <w:tab w:pos="1479" w:val="left" w:leader="none"/>
        </w:tabs>
        <w:spacing w:line="240" w:lineRule="auto" w:before="43" w:after="0"/>
        <w:ind w:left="1478" w:right="0" w:hanging="361"/>
        <w:jc w:val="left"/>
        <w:rPr>
          <w:sz w:val="21"/>
        </w:rPr>
      </w:pPr>
      <w:r>
        <w:rPr>
          <w:sz w:val="21"/>
        </w:rPr>
        <w:t>与其外部相关方之间的关系，以及外部相关方的观念和价值观；</w:t>
      </w:r>
    </w:p>
    <w:p>
      <w:pPr>
        <w:pStyle w:val="ListParagraph"/>
        <w:numPr>
          <w:ilvl w:val="1"/>
          <w:numId w:val="50"/>
        </w:numPr>
        <w:tabs>
          <w:tab w:pos="1479" w:val="left" w:leader="none"/>
        </w:tabs>
        <w:spacing w:line="240" w:lineRule="auto" w:before="43" w:after="0"/>
        <w:ind w:left="1478" w:right="0" w:hanging="361"/>
        <w:jc w:val="left"/>
        <w:rPr>
          <w:sz w:val="21"/>
        </w:rPr>
      </w:pPr>
      <w:r>
        <w:rPr>
          <w:sz w:val="21"/>
        </w:rPr>
        <w:t>与上述各项有关的变化；</w:t>
      </w:r>
    </w:p>
    <w:p>
      <w:pPr>
        <w:pStyle w:val="ListParagraph"/>
        <w:numPr>
          <w:ilvl w:val="0"/>
          <w:numId w:val="50"/>
        </w:numPr>
        <w:tabs>
          <w:tab w:pos="1059" w:val="left" w:leader="none"/>
        </w:tabs>
        <w:spacing w:line="240" w:lineRule="auto" w:before="43" w:after="0"/>
        <w:ind w:left="1058" w:right="0" w:hanging="361"/>
        <w:jc w:val="left"/>
        <w:rPr>
          <w:sz w:val="21"/>
        </w:rPr>
      </w:pPr>
      <w:r>
        <w:rPr>
          <w:sz w:val="21"/>
        </w:rPr>
        <w:t>内部议题，如：</w:t>
      </w:r>
    </w:p>
    <w:p>
      <w:pPr>
        <w:pStyle w:val="ListParagraph"/>
        <w:numPr>
          <w:ilvl w:val="1"/>
          <w:numId w:val="50"/>
        </w:numPr>
        <w:tabs>
          <w:tab w:pos="1479" w:val="left" w:leader="none"/>
        </w:tabs>
        <w:spacing w:line="240" w:lineRule="auto" w:before="43" w:after="0"/>
        <w:ind w:left="1478" w:right="0" w:hanging="361"/>
        <w:jc w:val="left"/>
        <w:rPr>
          <w:sz w:val="21"/>
        </w:rPr>
      </w:pPr>
      <w:r>
        <w:rPr>
          <w:sz w:val="21"/>
        </w:rPr>
        <w:t>治理、组织结构、角色和责任；</w:t>
      </w:r>
    </w:p>
    <w:p>
      <w:pPr>
        <w:pStyle w:val="ListParagraph"/>
        <w:numPr>
          <w:ilvl w:val="1"/>
          <w:numId w:val="50"/>
        </w:numPr>
        <w:tabs>
          <w:tab w:pos="1479" w:val="left" w:leader="none"/>
        </w:tabs>
        <w:spacing w:line="240" w:lineRule="auto" w:before="43" w:after="0"/>
        <w:ind w:left="1478" w:right="0" w:hanging="361"/>
        <w:jc w:val="left"/>
        <w:rPr>
          <w:sz w:val="21"/>
        </w:rPr>
      </w:pPr>
      <w:r>
        <w:rPr>
          <w:sz w:val="21"/>
        </w:rPr>
        <w:t>方针、目标及其实现的策略；</w:t>
      </w:r>
    </w:p>
    <w:p>
      <w:pPr>
        <w:pStyle w:val="ListParagraph"/>
        <w:numPr>
          <w:ilvl w:val="1"/>
          <w:numId w:val="50"/>
        </w:numPr>
        <w:tabs>
          <w:tab w:pos="1479" w:val="left" w:leader="none"/>
        </w:tabs>
        <w:spacing w:line="240" w:lineRule="auto" w:before="43" w:after="0"/>
        <w:ind w:left="1478" w:right="0" w:hanging="361"/>
        <w:jc w:val="left"/>
        <w:rPr>
          <w:sz w:val="21"/>
        </w:rPr>
      </w:pPr>
      <w:r>
        <w:rPr>
          <w:spacing w:val="-1"/>
          <w:w w:val="99"/>
          <w:sz w:val="21"/>
        </w:rPr>
        <w:t>能力，可理解为资源、知识和技能</w:t>
      </w:r>
      <w:r>
        <w:rPr>
          <w:spacing w:val="2"/>
          <w:w w:val="99"/>
          <w:sz w:val="21"/>
        </w:rPr>
        <w:t>（</w:t>
      </w:r>
      <w:r>
        <w:rPr>
          <w:spacing w:val="-1"/>
          <w:w w:val="99"/>
          <w:sz w:val="21"/>
        </w:rPr>
        <w:t>如资金、时间、人力资源、过程、系统和技术</w:t>
      </w:r>
      <w:r>
        <w:rPr>
          <w:spacing w:val="-104"/>
          <w:w w:val="99"/>
          <w:sz w:val="21"/>
        </w:rPr>
        <w:t>）</w:t>
      </w:r>
      <w:r>
        <w:rPr>
          <w:w w:val="99"/>
          <w:sz w:val="21"/>
        </w:rPr>
        <w:t>；</w:t>
      </w:r>
    </w:p>
    <w:p>
      <w:pPr>
        <w:pStyle w:val="ListParagraph"/>
        <w:numPr>
          <w:ilvl w:val="1"/>
          <w:numId w:val="50"/>
        </w:numPr>
        <w:tabs>
          <w:tab w:pos="1479" w:val="left" w:leader="none"/>
        </w:tabs>
        <w:spacing w:line="240" w:lineRule="auto" w:before="43" w:after="0"/>
        <w:ind w:left="1478" w:right="0" w:hanging="361"/>
        <w:jc w:val="left"/>
        <w:rPr>
          <w:sz w:val="21"/>
        </w:rPr>
      </w:pPr>
      <w:r>
        <w:rPr>
          <w:spacing w:val="-1"/>
          <w:w w:val="99"/>
          <w:sz w:val="21"/>
        </w:rPr>
        <w:t>信息系统、信息流及决策过程</w:t>
      </w:r>
      <w:r>
        <w:rPr>
          <w:spacing w:val="2"/>
          <w:w w:val="99"/>
          <w:sz w:val="21"/>
        </w:rPr>
        <w:t>（</w:t>
      </w:r>
      <w:r>
        <w:rPr>
          <w:spacing w:val="-1"/>
          <w:w w:val="99"/>
          <w:sz w:val="21"/>
        </w:rPr>
        <w:t>正式的和非正式的</w:t>
      </w:r>
      <w:r>
        <w:rPr>
          <w:spacing w:val="-104"/>
          <w:w w:val="99"/>
          <w:sz w:val="21"/>
        </w:rPr>
        <w:t>）</w:t>
      </w:r>
      <w:r>
        <w:rPr>
          <w:w w:val="99"/>
          <w:sz w:val="21"/>
        </w:rPr>
        <w:t>；</w:t>
      </w:r>
    </w:p>
    <w:p>
      <w:pPr>
        <w:pStyle w:val="ListParagraph"/>
        <w:numPr>
          <w:ilvl w:val="1"/>
          <w:numId w:val="50"/>
        </w:numPr>
        <w:tabs>
          <w:tab w:pos="1479" w:val="left" w:leader="none"/>
        </w:tabs>
        <w:spacing w:line="240" w:lineRule="auto" w:before="42" w:after="0"/>
        <w:ind w:left="1478" w:right="0" w:hanging="361"/>
        <w:jc w:val="left"/>
        <w:rPr>
          <w:sz w:val="21"/>
        </w:rPr>
      </w:pPr>
      <w:r>
        <w:rPr>
          <w:sz w:val="21"/>
        </w:rPr>
        <w:t>新的产品、材料、服务、工具、软件、场所和设备的引入；</w:t>
      </w:r>
    </w:p>
    <w:p>
      <w:pPr>
        <w:pStyle w:val="ListParagraph"/>
        <w:numPr>
          <w:ilvl w:val="1"/>
          <w:numId w:val="50"/>
        </w:numPr>
        <w:tabs>
          <w:tab w:pos="1479" w:val="left" w:leader="none"/>
        </w:tabs>
        <w:spacing w:line="240" w:lineRule="auto" w:before="43" w:after="0"/>
        <w:ind w:left="1478" w:right="0" w:hanging="361"/>
        <w:jc w:val="left"/>
        <w:rPr>
          <w:sz w:val="21"/>
        </w:rPr>
      </w:pPr>
      <w:r>
        <w:rPr>
          <w:sz w:val="21"/>
        </w:rPr>
        <w:t>与工作人员的关系，以及他们的观念和价值观；</w:t>
      </w:r>
    </w:p>
    <w:p>
      <w:pPr>
        <w:pStyle w:val="ListParagraph"/>
        <w:numPr>
          <w:ilvl w:val="1"/>
          <w:numId w:val="50"/>
        </w:numPr>
        <w:tabs>
          <w:tab w:pos="1479" w:val="left" w:leader="none"/>
        </w:tabs>
        <w:spacing w:line="240" w:lineRule="auto" w:before="43" w:after="0"/>
        <w:ind w:left="1478" w:right="0" w:hanging="361"/>
        <w:jc w:val="left"/>
        <w:rPr>
          <w:sz w:val="21"/>
        </w:rPr>
      </w:pPr>
      <w:r>
        <w:rPr>
          <w:sz w:val="21"/>
        </w:rPr>
        <w:t>组织文化；</w:t>
      </w:r>
    </w:p>
    <w:p>
      <w:pPr>
        <w:pStyle w:val="ListParagraph"/>
        <w:numPr>
          <w:ilvl w:val="1"/>
          <w:numId w:val="50"/>
        </w:numPr>
        <w:tabs>
          <w:tab w:pos="1479" w:val="left" w:leader="none"/>
        </w:tabs>
        <w:spacing w:line="240" w:lineRule="auto" w:before="43" w:after="0"/>
        <w:ind w:left="1478" w:right="0" w:hanging="361"/>
        <w:jc w:val="left"/>
        <w:rPr>
          <w:sz w:val="21"/>
        </w:rPr>
      </w:pPr>
      <w:r>
        <w:rPr>
          <w:sz w:val="21"/>
        </w:rPr>
        <w:t>组织所采用的标准、指南和模型；</w:t>
      </w:r>
    </w:p>
    <w:p>
      <w:pPr>
        <w:pStyle w:val="ListParagraph"/>
        <w:numPr>
          <w:ilvl w:val="1"/>
          <w:numId w:val="50"/>
        </w:numPr>
        <w:tabs>
          <w:tab w:pos="1479" w:val="left" w:leader="none"/>
        </w:tabs>
        <w:spacing w:line="240" w:lineRule="auto" w:before="43" w:after="0"/>
        <w:ind w:left="1478" w:right="0" w:hanging="361"/>
        <w:jc w:val="left"/>
        <w:rPr>
          <w:sz w:val="21"/>
        </w:rPr>
      </w:pPr>
      <w:r>
        <w:rPr>
          <w:sz w:val="21"/>
        </w:rPr>
        <w:t>合同关系的形式和范围，包括诸如外包活动；</w:t>
      </w:r>
    </w:p>
    <w:p>
      <w:pPr>
        <w:pStyle w:val="ListParagraph"/>
        <w:numPr>
          <w:ilvl w:val="1"/>
          <w:numId w:val="50"/>
        </w:numPr>
        <w:tabs>
          <w:tab w:pos="1479" w:val="left" w:leader="none"/>
        </w:tabs>
        <w:spacing w:line="240" w:lineRule="auto" w:before="43" w:after="0"/>
        <w:ind w:left="1478" w:right="0" w:hanging="361"/>
        <w:jc w:val="left"/>
        <w:rPr>
          <w:sz w:val="21"/>
        </w:rPr>
      </w:pPr>
      <w:r>
        <w:rPr>
          <w:sz w:val="21"/>
        </w:rPr>
        <w:t>工作时间安排；</w:t>
      </w:r>
    </w:p>
    <w:p>
      <w:pPr>
        <w:pStyle w:val="ListParagraph"/>
        <w:numPr>
          <w:ilvl w:val="1"/>
          <w:numId w:val="50"/>
        </w:numPr>
        <w:tabs>
          <w:tab w:pos="1479" w:val="left" w:leader="none"/>
        </w:tabs>
        <w:spacing w:line="240" w:lineRule="auto" w:before="43" w:after="0"/>
        <w:ind w:left="1478" w:right="0" w:hanging="361"/>
        <w:jc w:val="left"/>
        <w:rPr>
          <w:sz w:val="21"/>
        </w:rPr>
      </w:pPr>
      <w:r>
        <w:rPr>
          <w:sz w:val="21"/>
        </w:rPr>
        <w:t>工作条件；</w:t>
      </w:r>
    </w:p>
    <w:p>
      <w:pPr>
        <w:pStyle w:val="ListParagraph"/>
        <w:numPr>
          <w:ilvl w:val="1"/>
          <w:numId w:val="50"/>
        </w:numPr>
        <w:tabs>
          <w:tab w:pos="1479" w:val="left" w:leader="none"/>
        </w:tabs>
        <w:spacing w:line="240" w:lineRule="auto" w:before="43" w:after="0"/>
        <w:ind w:left="1478" w:right="0" w:hanging="361"/>
        <w:jc w:val="left"/>
        <w:rPr>
          <w:sz w:val="21"/>
        </w:rPr>
      </w:pPr>
      <w:r>
        <w:rPr>
          <w:sz w:val="21"/>
        </w:rPr>
        <w:t>与上述各项有关的变化。</w:t>
      </w:r>
    </w:p>
    <w:p>
      <w:pPr>
        <w:pStyle w:val="ListParagraph"/>
        <w:numPr>
          <w:ilvl w:val="2"/>
          <w:numId w:val="51"/>
        </w:numPr>
        <w:tabs>
          <w:tab w:pos="908" w:val="left" w:leader="none"/>
        </w:tabs>
        <w:spacing w:line="240" w:lineRule="auto" w:before="43" w:after="0"/>
        <w:ind w:left="907" w:right="0" w:hanging="630"/>
        <w:jc w:val="left"/>
        <w:rPr>
          <w:rFonts w:ascii="黑体" w:eastAsia="黑体" w:hint="eastAsia"/>
          <w:sz w:val="21"/>
        </w:rPr>
      </w:pPr>
      <w:bookmarkStart w:name="A.4.2 理解工作人员和其他相关方的需求和期望" w:id="176"/>
      <w:bookmarkEnd w:id="176"/>
      <w:r>
        <w:rPr/>
      </w:r>
      <w:bookmarkStart w:name="A.4.2 理解工作人员和其他相关方的需求和期望" w:id="177"/>
      <w:bookmarkEnd w:id="177"/>
      <w:r>
        <w:rPr>
          <w:rFonts w:ascii="黑体" w:eastAsia="黑体" w:hint="eastAsia"/>
          <w:sz w:val="21"/>
        </w:rPr>
        <w:t>理解工作人员和其他相关方的需求和期望</w:t>
      </w:r>
    </w:p>
    <w:p>
      <w:pPr>
        <w:pStyle w:val="BodyText"/>
        <w:ind w:left="698"/>
      </w:pPr>
      <w:r>
        <w:rPr/>
        <w:t>除工作人员之外，相关方还可包括：</w:t>
      </w:r>
    </w:p>
    <w:p>
      <w:pPr>
        <w:pStyle w:val="ListParagraph"/>
        <w:numPr>
          <w:ilvl w:val="3"/>
          <w:numId w:val="51"/>
        </w:numPr>
        <w:tabs>
          <w:tab w:pos="1070" w:val="left" w:leader="none"/>
          <w:tab w:pos="1071" w:val="left" w:leader="none"/>
        </w:tabs>
        <w:spacing w:line="240" w:lineRule="auto" w:before="43" w:after="0"/>
        <w:ind w:left="1070" w:right="0" w:hanging="373"/>
        <w:jc w:val="left"/>
        <w:rPr>
          <w:rFonts w:ascii="Times New Roman" w:eastAsia="Times New Roman"/>
          <w:sz w:val="21"/>
        </w:rPr>
      </w:pPr>
      <w:r>
        <w:rPr>
          <w:spacing w:val="-1"/>
          <w:w w:val="99"/>
          <w:sz w:val="21"/>
        </w:rPr>
        <w:t>法律法规监管机构（当地的、地区的、省</w:t>
      </w:r>
      <w:r>
        <w:rPr>
          <w:rFonts w:ascii="Times New Roman" w:eastAsia="Times New Roman"/>
          <w:spacing w:val="-1"/>
          <w:w w:val="99"/>
          <w:sz w:val="21"/>
        </w:rPr>
        <w:t>/</w:t>
      </w:r>
      <w:r>
        <w:rPr>
          <w:w w:val="99"/>
          <w:sz w:val="21"/>
        </w:rPr>
        <w:t>直辖市</w:t>
      </w:r>
      <w:r>
        <w:rPr>
          <w:rFonts w:ascii="Times New Roman" w:eastAsia="Times New Roman"/>
          <w:spacing w:val="-1"/>
          <w:w w:val="99"/>
          <w:sz w:val="21"/>
        </w:rPr>
        <w:t>/</w:t>
      </w:r>
      <w:r>
        <w:rPr>
          <w:spacing w:val="-1"/>
          <w:w w:val="99"/>
          <w:sz w:val="21"/>
        </w:rPr>
        <w:t>自治区的、国家的或国际的</w:t>
      </w:r>
      <w:r>
        <w:rPr>
          <w:spacing w:val="-104"/>
          <w:w w:val="99"/>
          <w:sz w:val="21"/>
        </w:rPr>
        <w:t>）</w:t>
      </w:r>
      <w:r>
        <w:rPr>
          <w:w w:val="99"/>
          <w:sz w:val="21"/>
        </w:rPr>
        <w:t>；</w:t>
      </w:r>
    </w:p>
    <w:p>
      <w:pPr>
        <w:pStyle w:val="ListParagraph"/>
        <w:numPr>
          <w:ilvl w:val="3"/>
          <w:numId w:val="51"/>
        </w:numPr>
        <w:tabs>
          <w:tab w:pos="1082" w:val="left" w:leader="none"/>
          <w:tab w:pos="1083" w:val="left" w:leader="none"/>
        </w:tabs>
        <w:spacing w:line="240" w:lineRule="auto" w:before="43" w:after="0"/>
        <w:ind w:left="1082" w:right="0" w:hanging="385"/>
        <w:jc w:val="left"/>
        <w:rPr>
          <w:rFonts w:ascii="Times New Roman" w:eastAsia="Times New Roman"/>
          <w:sz w:val="21"/>
        </w:rPr>
      </w:pPr>
      <w:r>
        <w:rPr>
          <w:sz w:val="21"/>
        </w:rPr>
        <w:t>上级组织；</w:t>
      </w:r>
    </w:p>
    <w:p>
      <w:pPr>
        <w:pStyle w:val="ListParagraph"/>
        <w:numPr>
          <w:ilvl w:val="3"/>
          <w:numId w:val="51"/>
        </w:numPr>
        <w:tabs>
          <w:tab w:pos="1070" w:val="left" w:leader="none"/>
          <w:tab w:pos="1071" w:val="left" w:leader="none"/>
        </w:tabs>
        <w:spacing w:line="240" w:lineRule="auto" w:before="43" w:after="0"/>
        <w:ind w:left="1070" w:right="0" w:hanging="373"/>
        <w:jc w:val="left"/>
        <w:rPr>
          <w:rFonts w:ascii="Times New Roman" w:eastAsia="Times New Roman"/>
          <w:sz w:val="21"/>
        </w:rPr>
      </w:pPr>
      <w:r>
        <w:rPr>
          <w:sz w:val="21"/>
        </w:rPr>
        <w:t>供方、承包方、分包方；</w:t>
      </w:r>
    </w:p>
    <w:p>
      <w:pPr>
        <w:pStyle w:val="ListParagraph"/>
        <w:numPr>
          <w:ilvl w:val="3"/>
          <w:numId w:val="51"/>
        </w:numPr>
        <w:tabs>
          <w:tab w:pos="1082" w:val="left" w:leader="none"/>
          <w:tab w:pos="1083" w:val="left" w:leader="none"/>
        </w:tabs>
        <w:spacing w:line="240" w:lineRule="auto" w:before="43" w:after="0"/>
        <w:ind w:left="1082" w:right="0" w:hanging="385"/>
        <w:jc w:val="left"/>
        <w:rPr>
          <w:rFonts w:ascii="Times New Roman" w:eastAsia="Times New Roman"/>
          <w:sz w:val="21"/>
        </w:rPr>
      </w:pPr>
      <w:r>
        <w:rPr>
          <w:sz w:val="21"/>
        </w:rPr>
        <w:t>工作人员代表；</w:t>
      </w:r>
    </w:p>
    <w:p>
      <w:pPr>
        <w:pStyle w:val="ListParagraph"/>
        <w:numPr>
          <w:ilvl w:val="3"/>
          <w:numId w:val="51"/>
        </w:numPr>
        <w:tabs>
          <w:tab w:pos="1070" w:val="left" w:leader="none"/>
          <w:tab w:pos="1071" w:val="left" w:leader="none"/>
        </w:tabs>
        <w:spacing w:line="240" w:lineRule="auto" w:before="43" w:after="0"/>
        <w:ind w:left="1070" w:right="0" w:hanging="373"/>
        <w:jc w:val="left"/>
        <w:rPr>
          <w:rFonts w:ascii="Times New Roman" w:eastAsia="Times New Roman"/>
          <w:sz w:val="21"/>
        </w:rPr>
      </w:pPr>
      <w:r>
        <w:rPr>
          <w:sz w:val="21"/>
        </w:rPr>
        <w:t>工作人员组织（工会）和雇主组织；</w:t>
      </w:r>
    </w:p>
    <w:p>
      <w:pPr>
        <w:pStyle w:val="ListParagraph"/>
        <w:numPr>
          <w:ilvl w:val="3"/>
          <w:numId w:val="51"/>
        </w:numPr>
        <w:tabs>
          <w:tab w:pos="1046" w:val="left" w:leader="none"/>
          <w:tab w:pos="1047" w:val="left" w:leader="none"/>
        </w:tabs>
        <w:spacing w:line="240" w:lineRule="auto" w:before="43" w:after="0"/>
        <w:ind w:left="1046" w:right="0" w:hanging="349"/>
        <w:jc w:val="left"/>
        <w:rPr>
          <w:rFonts w:ascii="Times New Roman" w:eastAsia="Times New Roman"/>
          <w:sz w:val="21"/>
        </w:rPr>
      </w:pPr>
      <w:r>
        <w:rPr>
          <w:sz w:val="21"/>
        </w:rPr>
        <w:t>所有者、股东、客户、访问者、组织所在社区和邻居以及一般公众；</w:t>
      </w:r>
    </w:p>
    <w:p>
      <w:pPr>
        <w:pStyle w:val="ListParagraph"/>
        <w:numPr>
          <w:ilvl w:val="3"/>
          <w:numId w:val="51"/>
        </w:numPr>
        <w:tabs>
          <w:tab w:pos="1082" w:val="left" w:leader="none"/>
          <w:tab w:pos="1083" w:val="left" w:leader="none"/>
        </w:tabs>
        <w:spacing w:line="240" w:lineRule="auto" w:before="42" w:after="0"/>
        <w:ind w:left="1082" w:right="0" w:hanging="385"/>
        <w:jc w:val="left"/>
        <w:rPr>
          <w:rFonts w:ascii="Times New Roman" w:eastAsia="Times New Roman"/>
          <w:sz w:val="21"/>
        </w:rPr>
      </w:pPr>
      <w:r>
        <w:rPr>
          <w:sz w:val="21"/>
        </w:rPr>
        <w:t>顾客、医疗和其他社区服务机构、媒体、学术界、商业协会和非政府组织；</w:t>
      </w:r>
    </w:p>
    <w:p>
      <w:pPr>
        <w:pStyle w:val="ListParagraph"/>
        <w:numPr>
          <w:ilvl w:val="3"/>
          <w:numId w:val="51"/>
        </w:numPr>
        <w:tabs>
          <w:tab w:pos="1082" w:val="left" w:leader="none"/>
          <w:tab w:pos="1083" w:val="left" w:leader="none"/>
        </w:tabs>
        <w:spacing w:line="240" w:lineRule="auto" w:before="43" w:after="0"/>
        <w:ind w:left="1082" w:right="0" w:hanging="385"/>
        <w:jc w:val="left"/>
        <w:rPr>
          <w:rFonts w:ascii="Times New Roman" w:eastAsia="Times New Roman"/>
          <w:sz w:val="21"/>
        </w:rPr>
      </w:pPr>
      <w:r>
        <w:rPr>
          <w:sz w:val="21"/>
        </w:rPr>
        <w:t>职业健康安全组织、职业安全和健康护理方面的专业人员。</w:t>
      </w:r>
    </w:p>
    <w:p>
      <w:pPr>
        <w:pStyle w:val="BodyText"/>
        <w:spacing w:line="278" w:lineRule="auto"/>
        <w:ind w:left="278" w:right="506" w:firstLine="420"/>
        <w:jc w:val="both"/>
      </w:pPr>
      <w:r>
        <w:rPr>
          <w:w w:val="95"/>
        </w:rPr>
        <w:t>有些需求和期望具有强制性，如已被纳入法律法规的需求和期望。对于其他需求和期望，组织也   </w:t>
      </w:r>
      <w:r>
        <w:rPr>
          <w:spacing w:val="-3"/>
          <w:w w:val="95"/>
        </w:rPr>
        <w:t>可决定是否自愿接受或采纳</w:t>
      </w:r>
      <w:r>
        <w:rPr>
          <w:w w:val="95"/>
        </w:rPr>
        <w:t>（如签署自愿性倡议</w:t>
      </w:r>
      <w:r>
        <w:rPr>
          <w:spacing w:val="-106"/>
          <w:w w:val="95"/>
        </w:rPr>
        <w:t>）</w:t>
      </w:r>
      <w:r>
        <w:rPr>
          <w:spacing w:val="-8"/>
          <w:w w:val="95"/>
        </w:rPr>
        <w:t>。组织一旦采纳这些需求和期望，就要在策划和建立   </w:t>
      </w:r>
      <w:r>
        <w:rPr>
          <w:spacing w:val="-8"/>
        </w:rPr>
        <w:t>职业健康安全管理体系时予以应对。</w:t>
      </w:r>
    </w:p>
    <w:p>
      <w:pPr>
        <w:pStyle w:val="ListParagraph"/>
        <w:numPr>
          <w:ilvl w:val="2"/>
          <w:numId w:val="51"/>
        </w:numPr>
        <w:tabs>
          <w:tab w:pos="908" w:val="left" w:leader="none"/>
        </w:tabs>
        <w:spacing w:line="269" w:lineRule="exact" w:before="0" w:after="0"/>
        <w:ind w:left="907" w:right="0" w:hanging="630"/>
        <w:jc w:val="left"/>
        <w:rPr>
          <w:rFonts w:ascii="黑体" w:eastAsia="黑体" w:hint="eastAsia"/>
          <w:sz w:val="21"/>
        </w:rPr>
      </w:pPr>
      <w:bookmarkStart w:name="A.4.3 确定职业健康安全管理体系的范围" w:id="178"/>
      <w:bookmarkEnd w:id="178"/>
      <w:r>
        <w:rPr/>
      </w:r>
      <w:bookmarkStart w:name="A.4.3 确定职业健康安全管理体系的范围" w:id="179"/>
      <w:bookmarkEnd w:id="179"/>
      <w:r>
        <w:rPr>
          <w:rFonts w:ascii="黑体" w:eastAsia="黑体" w:hint="eastAsia"/>
          <w:sz w:val="21"/>
        </w:rPr>
        <w:t>确定职业健康安全管理体系的范围</w:t>
      </w:r>
    </w:p>
    <w:p>
      <w:pPr>
        <w:pStyle w:val="BodyText"/>
        <w:spacing w:line="278" w:lineRule="auto"/>
        <w:ind w:left="278" w:right="403" w:firstLine="420"/>
      </w:pPr>
      <w:r>
        <w:rPr>
          <w:spacing w:val="-4"/>
          <w:w w:val="95"/>
        </w:rPr>
        <w:t>组织可以自主灵活地界定职业健康安全管理体系的边界和适用性。边界和适用性可包括整个组织，   </w:t>
      </w:r>
      <w:r>
        <w:rPr>
          <w:spacing w:val="-4"/>
        </w:rPr>
        <w:t>或组织的特定部分，只要该部分的最高管理者自身拥有建立职业健康安全管理体系的职能、职责和权限。</w:t>
      </w:r>
    </w:p>
    <w:p>
      <w:pPr>
        <w:pStyle w:val="BodyText"/>
        <w:spacing w:line="278" w:lineRule="auto" w:before="0"/>
        <w:ind w:left="278" w:right="506" w:firstLine="420"/>
        <w:jc w:val="both"/>
      </w:pPr>
      <w:r>
        <w:rPr>
          <w:w w:val="95"/>
        </w:rPr>
        <w:t>组织职业健康安全管理体系的可信度取决于边界的选定。范围不可用来排除影响或可能影响组织   职业健康安全绩效的活动、产品和服务，或规避法律法规要求和其他要求。范围是对包含在职业健康   </w:t>
      </w:r>
      <w:r>
        <w:rPr/>
        <w:t>安全管理体系边界内的组织运行的真实并具代表性的声明，不可对相关方造成误导。</w:t>
      </w:r>
    </w:p>
    <w:p>
      <w:pPr>
        <w:pStyle w:val="ListParagraph"/>
        <w:numPr>
          <w:ilvl w:val="2"/>
          <w:numId w:val="51"/>
        </w:numPr>
        <w:tabs>
          <w:tab w:pos="908" w:val="left" w:leader="none"/>
        </w:tabs>
        <w:spacing w:line="269" w:lineRule="exact" w:before="0" w:after="0"/>
        <w:ind w:left="907" w:right="0" w:hanging="630"/>
        <w:jc w:val="left"/>
        <w:rPr>
          <w:rFonts w:ascii="黑体" w:eastAsia="黑体" w:hint="eastAsia"/>
          <w:sz w:val="21"/>
        </w:rPr>
      </w:pPr>
      <w:bookmarkStart w:name="A.4.4 职业健康安全管理体系" w:id="180"/>
      <w:bookmarkEnd w:id="180"/>
      <w:r>
        <w:rPr/>
      </w:r>
      <w:bookmarkStart w:name="A.4.4 职业健康安全管理体系" w:id="181"/>
      <w:bookmarkEnd w:id="181"/>
      <w:r>
        <w:rPr>
          <w:rFonts w:ascii="黑体" w:eastAsia="黑体" w:hint="eastAsia"/>
          <w:sz w:val="21"/>
        </w:rPr>
        <w:t>职业健康安全管理体系</w:t>
      </w:r>
    </w:p>
    <w:p>
      <w:pPr>
        <w:pStyle w:val="BodyText"/>
        <w:ind w:left="698"/>
      </w:pPr>
      <w:r>
        <w:rPr/>
        <w:t>组织有权力、责任和自主性来决定如何满足本标准的要求，包括下列事项的详略水平和程度：</w:t>
      </w:r>
    </w:p>
    <w:p>
      <w:pPr>
        <w:spacing w:after="0"/>
        <w:sectPr>
          <w:pgSz w:w="11910" w:h="16840"/>
          <w:pgMar w:header="1442" w:footer="850" w:top="1660" w:bottom="1040" w:left="1140" w:right="740"/>
        </w:sectPr>
      </w:pPr>
    </w:p>
    <w:p>
      <w:pPr>
        <w:pStyle w:val="ListParagraph"/>
        <w:numPr>
          <w:ilvl w:val="3"/>
          <w:numId w:val="51"/>
        </w:numPr>
        <w:tabs>
          <w:tab w:pos="1059" w:val="left" w:leader="none"/>
        </w:tabs>
        <w:spacing w:line="278" w:lineRule="auto" w:before="157" w:after="0"/>
        <w:ind w:left="1058" w:right="506" w:hanging="360"/>
        <w:jc w:val="both"/>
        <w:rPr>
          <w:sz w:val="21"/>
        </w:rPr>
      </w:pPr>
      <w:r>
        <w:rPr>
          <w:sz w:val="21"/>
        </w:rPr>
        <w:t>建立一个或多个过程，以确信它们按照策划得到控制和实施，并实现职业健康安全管理体系的预期结果；</w:t>
      </w:r>
    </w:p>
    <w:p>
      <w:pPr>
        <w:pStyle w:val="ListParagraph"/>
        <w:numPr>
          <w:ilvl w:val="3"/>
          <w:numId w:val="51"/>
        </w:numPr>
        <w:tabs>
          <w:tab w:pos="1059" w:val="left" w:leader="none"/>
        </w:tabs>
        <w:spacing w:line="278" w:lineRule="auto" w:before="0" w:after="0"/>
        <w:ind w:left="1058" w:right="506" w:hanging="360"/>
        <w:jc w:val="both"/>
        <w:rPr>
          <w:sz w:val="21"/>
        </w:rPr>
      </w:pPr>
      <w:r>
        <w:rPr>
          <w:sz w:val="21"/>
        </w:rPr>
        <w:t>将职业健康安全管理体系要求融入其各项业务过程（如设计和开发、采购、人力资源、营销和市场等）中。</w:t>
      </w:r>
    </w:p>
    <w:p>
      <w:pPr>
        <w:pStyle w:val="BodyText"/>
        <w:spacing w:line="278" w:lineRule="auto" w:before="0"/>
        <w:ind w:left="278" w:right="506" w:firstLine="420"/>
        <w:jc w:val="both"/>
      </w:pPr>
      <w:r>
        <w:rPr>
          <w:w w:val="95"/>
        </w:rPr>
        <w:t>如果在组织的一个或多个特定部分实施本标准，则可采用组织其他部分所建立的方针和过程来满   足本标准要求，只要它们适用于该特定部分且符合本标准的要求。示例包括：公司的职业健康安全方   </w:t>
      </w:r>
      <w:r>
        <w:rPr/>
        <w:t>针；教育、培训和能力方案；采购控制等。</w:t>
      </w:r>
    </w:p>
    <w:p>
      <w:pPr>
        <w:pStyle w:val="ListParagraph"/>
        <w:numPr>
          <w:ilvl w:val="1"/>
          <w:numId w:val="49"/>
        </w:numPr>
        <w:tabs>
          <w:tab w:pos="699" w:val="left" w:leader="none"/>
        </w:tabs>
        <w:spacing w:line="240" w:lineRule="auto" w:before="156" w:after="0"/>
        <w:ind w:left="698" w:right="0" w:hanging="421"/>
        <w:jc w:val="left"/>
        <w:rPr>
          <w:rFonts w:ascii="黑体" w:eastAsia="黑体" w:hint="eastAsia"/>
          <w:sz w:val="21"/>
        </w:rPr>
      </w:pPr>
      <w:bookmarkStart w:name="A.5 领导作用和工作人员参与" w:id="182"/>
      <w:bookmarkEnd w:id="182"/>
      <w:r>
        <w:rPr/>
      </w:r>
      <w:bookmarkStart w:name="A.5 领导作用和工作人员参与" w:id="183"/>
      <w:bookmarkEnd w:id="183"/>
      <w:r>
        <w:rPr>
          <w:rFonts w:ascii="黑体" w:eastAsia="黑体" w:hint="eastAsia"/>
          <w:sz w:val="21"/>
        </w:rPr>
        <w:t>领导作用和工作人员参与</w:t>
      </w:r>
    </w:p>
    <w:p>
      <w:pPr>
        <w:pStyle w:val="BodyText"/>
        <w:spacing w:before="6"/>
        <w:rPr>
          <w:rFonts w:ascii="黑体"/>
          <w:sz w:val="15"/>
        </w:rPr>
      </w:pPr>
    </w:p>
    <w:p>
      <w:pPr>
        <w:pStyle w:val="BodyText"/>
        <w:spacing w:before="0"/>
        <w:ind w:left="278"/>
        <w:rPr>
          <w:rFonts w:ascii="黑体" w:eastAsia="黑体" w:hint="eastAsia"/>
        </w:rPr>
      </w:pPr>
      <w:bookmarkStart w:name="A 5.1 领导作用和承诺" w:id="184"/>
      <w:bookmarkEnd w:id="184"/>
      <w:r>
        <w:rPr/>
      </w:r>
      <w:r>
        <w:rPr>
          <w:rFonts w:ascii="黑体" w:eastAsia="黑体" w:hint="eastAsia"/>
        </w:rPr>
        <w:t>A 5.1 领导作用和承诺</w:t>
      </w:r>
    </w:p>
    <w:p>
      <w:pPr>
        <w:pStyle w:val="BodyText"/>
        <w:spacing w:line="278" w:lineRule="auto"/>
        <w:ind w:left="278" w:right="506" w:firstLine="420"/>
      </w:pPr>
      <w:r>
        <w:rPr>
          <w:w w:val="95"/>
        </w:rPr>
        <w:t>组织最高管理者的领导作用和承诺（包括意识、响应、积极的支持和反馈）是职业健康安全管理   </w:t>
      </w:r>
      <w:r>
        <w:rPr/>
        <w:t>体系成功并实现其预期结果的关键，为此，最高管理者负有亲自参与或指导的特定职责。</w:t>
      </w:r>
    </w:p>
    <w:p>
      <w:pPr>
        <w:pStyle w:val="BodyText"/>
        <w:spacing w:line="278" w:lineRule="auto" w:before="0"/>
        <w:ind w:left="278" w:right="403" w:firstLine="420"/>
      </w:pPr>
      <w:r>
        <w:rPr/>
        <w:t>支持组织职业健康安全管理体系的文化在很大程度上取决于最高管理者，它是个体和群体的价值观、态度、管理实践、观念、能力及活动模式的产物，而这些则决定了其职业健康安全管理体系的承诺、风格和水平。该文化具有（但不限于）下述特征：工作人员的积极参与；基于相互信任的合作与沟通；通过积极参与对职业健康安全机遇的探寻而达成对职业健康安全管理体系重要性的共识；对预</w:t>
      </w:r>
      <w:r>
        <w:rPr>
          <w:spacing w:val="-8"/>
          <w:w w:val="95"/>
        </w:rPr>
        <w:t>防和保护措施的有效性的信心。最高管理者证实其领导作用的一个重要方式是鼓励工作人员报告事件、   </w:t>
      </w:r>
      <w:r>
        <w:rPr>
          <w:spacing w:val="-8"/>
        </w:rPr>
        <w:t>危险源、风险和机遇，并保护其免遭报复（例如，当他们这样做时会面临解雇或纪律处分的威胁</w:t>
      </w:r>
      <w:r>
        <w:rPr>
          <w:spacing w:val="-104"/>
        </w:rPr>
        <w:t>）</w:t>
      </w:r>
      <w:r>
        <w:rPr/>
        <w:t>。</w:t>
      </w:r>
    </w:p>
    <w:p>
      <w:pPr>
        <w:pStyle w:val="ListParagraph"/>
        <w:numPr>
          <w:ilvl w:val="2"/>
          <w:numId w:val="52"/>
        </w:numPr>
        <w:tabs>
          <w:tab w:pos="908" w:val="left" w:leader="none"/>
        </w:tabs>
        <w:spacing w:line="268" w:lineRule="exact" w:before="0" w:after="0"/>
        <w:ind w:left="907" w:right="0" w:hanging="630"/>
        <w:jc w:val="left"/>
        <w:rPr>
          <w:rFonts w:ascii="黑体" w:eastAsia="黑体" w:hint="eastAsia"/>
          <w:sz w:val="21"/>
        </w:rPr>
      </w:pPr>
      <w:bookmarkStart w:name="A.5.2 职业健康安全方针" w:id="185"/>
      <w:bookmarkEnd w:id="185"/>
      <w:r>
        <w:rPr/>
      </w:r>
      <w:bookmarkStart w:name="A.5.2 职业健康安全方针" w:id="186"/>
      <w:bookmarkEnd w:id="186"/>
      <w:r>
        <w:rPr>
          <w:rFonts w:ascii="黑体" w:eastAsia="黑体" w:hint="eastAsia"/>
          <w:sz w:val="21"/>
        </w:rPr>
        <w:t>职业健康安全方针</w:t>
      </w:r>
    </w:p>
    <w:p>
      <w:pPr>
        <w:pStyle w:val="BodyText"/>
        <w:spacing w:line="278" w:lineRule="auto"/>
        <w:ind w:left="278" w:right="506" w:firstLine="420"/>
        <w:jc w:val="both"/>
      </w:pPr>
      <w:r>
        <w:rPr>
          <w:w w:val="95"/>
        </w:rPr>
        <w:t>职业健康安全方针是最高管理者作为承诺而声明的一组原则。它概述了组织支持和持续改进其职   业健康安全绩效的长期方向。职业健康安全方针提供了一个总体方向，并为组织制定目标和采取措施   </w:t>
      </w:r>
      <w:r>
        <w:rPr/>
        <w:t>以实现职业健康安全管理体系的预期结果提供了框架。</w:t>
      </w:r>
    </w:p>
    <w:p>
      <w:pPr>
        <w:pStyle w:val="BodyText"/>
        <w:spacing w:line="278" w:lineRule="auto" w:before="0"/>
        <w:ind w:left="278" w:right="506" w:firstLine="420"/>
      </w:pPr>
      <w:r>
        <w:rPr>
          <w:w w:val="95"/>
        </w:rPr>
        <w:t>这些承诺体现在组织所建立的过程中，以确保职业健康安全管理体系坚实、可信和可靠（包括应   </w:t>
      </w:r>
      <w:r>
        <w:rPr/>
        <w:t>对本标准的特定要求</w:t>
      </w:r>
      <w:r>
        <w:rPr>
          <w:spacing w:val="-104"/>
        </w:rPr>
        <w:t>）</w:t>
      </w:r>
      <w:r>
        <w:rPr/>
        <w:t>。</w:t>
      </w:r>
    </w:p>
    <w:p>
      <w:pPr>
        <w:pStyle w:val="BodyText"/>
        <w:spacing w:line="278" w:lineRule="auto" w:before="0"/>
        <w:ind w:left="278" w:right="508" w:firstLine="420"/>
      </w:pPr>
      <w:r>
        <w:rPr>
          <w:w w:val="95"/>
        </w:rPr>
        <w:t>术语“尽可能降低”用于与职业健康安全风险有关的方面，以阐明组织对其职业健康安全管理体   </w:t>
      </w:r>
      <w:r>
        <w:rPr/>
        <w:t>系的愿望。术语“降低”用于描述实现的过程。</w:t>
      </w:r>
    </w:p>
    <w:p>
      <w:pPr>
        <w:pStyle w:val="BodyText"/>
        <w:spacing w:line="269" w:lineRule="exact" w:before="0"/>
        <w:ind w:left="698"/>
      </w:pPr>
      <w:r>
        <w:rPr/>
        <w:t>在建立职业健康安全方针时，组织宜考虑与其它方针的一致性和协调性。</w:t>
      </w:r>
    </w:p>
    <w:p>
      <w:pPr>
        <w:pStyle w:val="ListParagraph"/>
        <w:numPr>
          <w:ilvl w:val="2"/>
          <w:numId w:val="52"/>
        </w:numPr>
        <w:tabs>
          <w:tab w:pos="908" w:val="left" w:leader="none"/>
        </w:tabs>
        <w:spacing w:line="240" w:lineRule="auto" w:before="42" w:after="0"/>
        <w:ind w:left="907" w:right="0" w:hanging="630"/>
        <w:jc w:val="left"/>
        <w:rPr>
          <w:rFonts w:ascii="黑体" w:eastAsia="黑体" w:hint="eastAsia"/>
          <w:sz w:val="21"/>
        </w:rPr>
      </w:pPr>
      <w:bookmarkStart w:name="A.5.3 组织的角色、职责和权限" w:id="187"/>
      <w:bookmarkEnd w:id="187"/>
      <w:r>
        <w:rPr/>
      </w:r>
      <w:bookmarkStart w:name="A.5.3 组织的角色、职责和权限" w:id="188"/>
      <w:bookmarkEnd w:id="188"/>
      <w:r>
        <w:rPr>
          <w:rFonts w:ascii="黑体" w:eastAsia="黑体" w:hint="eastAsia"/>
          <w:sz w:val="21"/>
        </w:rPr>
        <w:t>组织的角色、职责和权限</w:t>
      </w:r>
    </w:p>
    <w:p>
      <w:pPr>
        <w:pStyle w:val="BodyText"/>
        <w:spacing w:line="278" w:lineRule="auto"/>
        <w:ind w:left="278" w:right="506" w:firstLine="420"/>
      </w:pPr>
      <w:r>
        <w:rPr>
          <w:w w:val="95"/>
        </w:rPr>
        <w:t>为了实现职业健康安全管理体系的预期结果，组织职业健康安全管理体系所涉及到的人员宜清晰   </w:t>
      </w:r>
      <w:r>
        <w:rPr/>
        <w:t>理解其角色、职责和权限。</w:t>
      </w:r>
    </w:p>
    <w:p>
      <w:pPr>
        <w:pStyle w:val="BodyText"/>
        <w:spacing w:line="278" w:lineRule="auto" w:before="0"/>
        <w:ind w:left="278" w:right="506" w:firstLine="420"/>
      </w:pPr>
      <w:r>
        <w:rPr>
          <w:w w:val="95"/>
        </w:rPr>
        <w:t>虽然最高管理者对职业健康安全管理体系拥有总体职责和权限，但工作场所中的每个人不仅必须   </w:t>
      </w:r>
      <w:r>
        <w:rPr/>
        <w:t>考虑其自身的健康和安全，还须考虑他人的健康和安全。</w:t>
      </w:r>
    </w:p>
    <w:p>
      <w:pPr>
        <w:pStyle w:val="BodyText"/>
        <w:spacing w:line="278" w:lineRule="auto" w:before="0"/>
        <w:ind w:left="278" w:right="506" w:firstLine="420"/>
        <w:jc w:val="both"/>
      </w:pPr>
      <w:r>
        <w:rPr>
          <w:spacing w:val="-15"/>
          <w:w w:val="95"/>
        </w:rPr>
        <w:t>“负有责任的最高管理者”，意味着最高管理者可为决策和活动接受组织治理机构、法律监管机构   以及更广泛意义上的相关方的问责。这意味着最高管理者承担最终责任，并与因某事未完成、未妥善   </w:t>
      </w:r>
      <w:r>
        <w:rPr>
          <w:spacing w:val="-15"/>
        </w:rPr>
        <w:t>处置、不起作用或未实现其目标而被追究责任的人员一起承担连带责任。</w:t>
      </w:r>
    </w:p>
    <w:p>
      <w:pPr>
        <w:pStyle w:val="BodyText"/>
        <w:spacing w:line="278" w:lineRule="auto" w:before="0"/>
        <w:ind w:left="278" w:right="506" w:firstLine="420"/>
      </w:pPr>
      <w:r>
        <w:rPr>
          <w:w w:val="95"/>
        </w:rPr>
        <w:t>工作人员宜能够报告危险情况，以便组织采取措施。工作人员宜能够按照要求向有关主管部门报   </w:t>
      </w:r>
      <w:r>
        <w:rPr/>
        <w:t>告其关心的问题，而不会因此而遭受解雇、纪律处分或其他此类报复的威胁。</w:t>
      </w:r>
    </w:p>
    <w:p>
      <w:pPr>
        <w:pStyle w:val="BodyText"/>
        <w:spacing w:line="278" w:lineRule="auto" w:before="0"/>
        <w:ind w:left="278" w:right="506" w:firstLine="420"/>
      </w:pPr>
      <w:r>
        <w:rPr>
          <w:rFonts w:ascii="Times New Roman" w:eastAsia="Times New Roman"/>
        </w:rPr>
        <w:t>5.3 </w:t>
      </w:r>
      <w:r>
        <w:rPr>
          <w:spacing w:val="-5"/>
        </w:rPr>
        <w:t>中所确定的特定角色和职责可指派给某个人承担，也可由几个人共同分担，或指派给最高管理者中的某个成员。</w:t>
      </w:r>
    </w:p>
    <w:p>
      <w:pPr>
        <w:pStyle w:val="ListParagraph"/>
        <w:numPr>
          <w:ilvl w:val="2"/>
          <w:numId w:val="52"/>
        </w:numPr>
        <w:tabs>
          <w:tab w:pos="908" w:val="left" w:leader="none"/>
        </w:tabs>
        <w:spacing w:line="269" w:lineRule="exact" w:before="0" w:after="0"/>
        <w:ind w:left="907" w:right="0" w:hanging="630"/>
        <w:jc w:val="left"/>
        <w:rPr>
          <w:rFonts w:ascii="黑体" w:eastAsia="黑体" w:hint="eastAsia"/>
          <w:sz w:val="21"/>
        </w:rPr>
      </w:pPr>
      <w:bookmarkStart w:name="A.5.4 工作人员的协商和参与" w:id="189"/>
      <w:bookmarkEnd w:id="189"/>
      <w:r>
        <w:rPr/>
      </w:r>
      <w:bookmarkStart w:name="A.5.4 工作人员的协商和参与" w:id="190"/>
      <w:bookmarkEnd w:id="190"/>
      <w:r>
        <w:rPr>
          <w:rFonts w:ascii="黑体" w:eastAsia="黑体" w:hint="eastAsia"/>
          <w:sz w:val="21"/>
        </w:rPr>
        <w:t>工作人员的协商和参与</w:t>
      </w:r>
    </w:p>
    <w:p>
      <w:pPr>
        <w:pStyle w:val="BodyText"/>
        <w:spacing w:line="278" w:lineRule="auto" w:before="42"/>
        <w:ind w:left="278" w:right="506" w:firstLine="420"/>
      </w:pPr>
      <w:r>
        <w:rPr>
          <w:w w:val="95"/>
        </w:rPr>
        <w:t>工作人员及其代表（若有）的协商和参与是职业健康安全管理体系取得成功的关键因素。组织宜   </w:t>
      </w:r>
      <w:r>
        <w:rPr/>
        <w:t>通过建立过程而对此予以鼓励。</w:t>
      </w:r>
    </w:p>
    <w:p>
      <w:pPr>
        <w:pStyle w:val="BodyText"/>
        <w:spacing w:line="278" w:lineRule="auto" w:before="0"/>
        <w:ind w:left="278" w:right="506" w:firstLine="420"/>
      </w:pPr>
      <w:r>
        <w:rPr>
          <w:w w:val="95"/>
        </w:rPr>
        <w:t>协商意味着一种涉及对话和交换意见的双向沟通。协商包括及时向工作人员及其代表（若有）提   </w:t>
      </w:r>
      <w:r>
        <w:rPr/>
        <w:t>供必要信息，以使其给出知情的反馈意见，供组织在做出决策前加以考虑。</w:t>
      </w:r>
    </w:p>
    <w:p>
      <w:pPr>
        <w:spacing w:after="0" w:line="278" w:lineRule="auto"/>
        <w:sectPr>
          <w:footerReference w:type="even" r:id="rId19"/>
          <w:footerReference w:type="default" r:id="rId20"/>
          <w:pgSz w:w="11910" w:h="16840"/>
          <w:pgMar w:footer="850" w:header="1442" w:top="1660" w:bottom="1040" w:left="1140" w:right="740"/>
          <w:pgNumType w:start="20"/>
        </w:sectPr>
      </w:pPr>
    </w:p>
    <w:p>
      <w:pPr>
        <w:pStyle w:val="BodyText"/>
        <w:spacing w:before="157"/>
        <w:ind w:left="698"/>
      </w:pPr>
      <w:r>
        <w:rPr/>
        <w:t>参与能使工作人员为与职业健康安全绩效测量和变更建议有关的决策过程做出贡献。</w:t>
      </w:r>
    </w:p>
    <w:p>
      <w:pPr>
        <w:pStyle w:val="BodyText"/>
        <w:spacing w:line="278" w:lineRule="auto"/>
        <w:ind w:left="278" w:right="506" w:firstLine="420"/>
      </w:pPr>
      <w:r>
        <w:rPr>
          <w:w w:val="95"/>
        </w:rPr>
        <w:t>对职业健康安全管理体系的反馈依赖于工作人员的参与。组织宜确保鼓励各层次工作人员报告危   </w:t>
      </w:r>
      <w:r>
        <w:rPr/>
        <w:t>险情况，以便预防措施落实到位和采取纠正措施。</w:t>
      </w:r>
    </w:p>
    <w:p>
      <w:pPr>
        <w:pStyle w:val="BodyText"/>
        <w:spacing w:line="278" w:lineRule="auto" w:before="0"/>
        <w:ind w:left="278" w:right="506" w:firstLine="420"/>
      </w:pPr>
      <w:r>
        <w:rPr>
          <w:w w:val="95"/>
        </w:rPr>
        <w:t>如果工作人员在提供建议时无惧遭受解雇、纪律处分或其他类似报复的威胁，那么所收到的建议   </w:t>
      </w:r>
      <w:r>
        <w:rPr/>
        <w:t>将会更为有效。</w:t>
      </w:r>
    </w:p>
    <w:p>
      <w:pPr>
        <w:pStyle w:val="ListParagraph"/>
        <w:numPr>
          <w:ilvl w:val="1"/>
          <w:numId w:val="49"/>
        </w:numPr>
        <w:tabs>
          <w:tab w:pos="699" w:val="left" w:leader="none"/>
        </w:tabs>
        <w:spacing w:line="240" w:lineRule="auto" w:before="156" w:after="0"/>
        <w:ind w:left="698" w:right="0" w:hanging="421"/>
        <w:jc w:val="left"/>
        <w:rPr>
          <w:rFonts w:ascii="黑体" w:eastAsia="黑体" w:hint="eastAsia"/>
          <w:sz w:val="21"/>
        </w:rPr>
      </w:pPr>
      <w:bookmarkStart w:name="A.6 策划" w:id="191"/>
      <w:bookmarkEnd w:id="191"/>
      <w:r>
        <w:rPr/>
      </w:r>
      <w:bookmarkStart w:name="A.6 策划" w:id="192"/>
      <w:bookmarkEnd w:id="192"/>
      <w:r>
        <w:rPr>
          <w:rFonts w:ascii="黑体" w:eastAsia="黑体" w:hint="eastAsia"/>
          <w:sz w:val="21"/>
        </w:rPr>
        <w:t>策划</w:t>
      </w:r>
    </w:p>
    <w:p>
      <w:pPr>
        <w:pStyle w:val="BodyText"/>
        <w:spacing w:before="6"/>
        <w:rPr>
          <w:rFonts w:ascii="黑体"/>
          <w:sz w:val="15"/>
        </w:rPr>
      </w:pPr>
    </w:p>
    <w:p>
      <w:pPr>
        <w:pStyle w:val="ListParagraph"/>
        <w:numPr>
          <w:ilvl w:val="2"/>
          <w:numId w:val="53"/>
        </w:numPr>
        <w:tabs>
          <w:tab w:pos="908" w:val="left" w:leader="none"/>
        </w:tabs>
        <w:spacing w:line="240" w:lineRule="auto" w:before="1" w:after="0"/>
        <w:ind w:left="907" w:right="0" w:hanging="630"/>
        <w:jc w:val="left"/>
        <w:rPr>
          <w:rFonts w:ascii="黑体" w:eastAsia="黑体" w:hint="eastAsia"/>
          <w:sz w:val="21"/>
        </w:rPr>
      </w:pPr>
      <w:bookmarkStart w:name="A.6.1 应对风险和机遇的措施" w:id="193"/>
      <w:bookmarkEnd w:id="193"/>
      <w:r>
        <w:rPr/>
      </w:r>
      <w:bookmarkStart w:name="A.6.1 应对风险和机遇的措施" w:id="194"/>
      <w:bookmarkEnd w:id="194"/>
      <w:r>
        <w:rPr>
          <w:rFonts w:ascii="黑体" w:eastAsia="黑体" w:hint="eastAsia"/>
          <w:sz w:val="21"/>
        </w:rPr>
        <w:t>应对风险和机遇的措施</w:t>
      </w:r>
    </w:p>
    <w:p>
      <w:pPr>
        <w:pStyle w:val="ListParagraph"/>
        <w:numPr>
          <w:ilvl w:val="3"/>
          <w:numId w:val="53"/>
        </w:numPr>
        <w:tabs>
          <w:tab w:pos="1119" w:val="left" w:leader="none"/>
        </w:tabs>
        <w:spacing w:line="240" w:lineRule="auto" w:before="42" w:after="0"/>
        <w:ind w:left="1118" w:right="0" w:hanging="841"/>
        <w:jc w:val="left"/>
        <w:rPr>
          <w:rFonts w:ascii="黑体" w:eastAsia="黑体" w:hint="eastAsia"/>
          <w:sz w:val="21"/>
        </w:rPr>
      </w:pPr>
      <w:bookmarkStart w:name="A.6.1.1 总则" w:id="195"/>
      <w:bookmarkEnd w:id="195"/>
      <w:r>
        <w:rPr/>
      </w:r>
      <w:bookmarkStart w:name="A.6.1.1 总则" w:id="196"/>
      <w:bookmarkEnd w:id="196"/>
      <w:r>
        <w:rPr>
          <w:rFonts w:ascii="黑体" w:eastAsia="黑体" w:hint="eastAsia"/>
          <w:sz w:val="21"/>
        </w:rPr>
        <w:t>总则</w:t>
      </w:r>
    </w:p>
    <w:p>
      <w:pPr>
        <w:pStyle w:val="BodyText"/>
        <w:spacing w:line="278" w:lineRule="auto"/>
        <w:ind w:left="278" w:right="508" w:firstLine="420"/>
      </w:pPr>
      <w:r>
        <w:rPr>
          <w:w w:val="95"/>
        </w:rPr>
        <w:t>策划并非单一事件，而是一个持续的过程。它既为工作人员也为职业健康安全管理体系预测环境   </w:t>
      </w:r>
      <w:r>
        <w:rPr/>
        <w:t>变化并持续确定风险和机遇。</w:t>
      </w:r>
    </w:p>
    <w:p>
      <w:pPr>
        <w:pStyle w:val="BodyText"/>
        <w:spacing w:line="269" w:lineRule="exact" w:before="0"/>
        <w:ind w:left="698"/>
      </w:pPr>
      <w:r>
        <w:rPr/>
        <w:t>非预期的结果可包括与工作相关的伤害和健康损害、不符合法律法规要求和其他要求，或损害声</w:t>
      </w:r>
    </w:p>
    <w:p>
      <w:pPr>
        <w:pStyle w:val="BodyText"/>
        <w:ind w:left="278"/>
      </w:pPr>
      <w:r>
        <w:rPr/>
        <w:t>誉。</w:t>
      </w:r>
    </w:p>
    <w:p>
      <w:pPr>
        <w:pStyle w:val="BodyText"/>
        <w:ind w:left="698"/>
      </w:pPr>
      <w:r>
        <w:rPr/>
        <w:t>策划需整体考虑管理体系的活动与要求之间的关系和相互作用。</w:t>
      </w:r>
    </w:p>
    <w:p>
      <w:pPr>
        <w:pStyle w:val="BodyText"/>
        <w:ind w:left="698"/>
      </w:pPr>
      <w:r>
        <w:rPr/>
        <w:t>职业健康安全机遇涉及危险源辨识、如何沟通危险源，以及已知危险源的分析和减轻。其他机遇</w:t>
      </w:r>
    </w:p>
    <w:p>
      <w:pPr>
        <w:pStyle w:val="BodyText"/>
        <w:ind w:left="278"/>
      </w:pPr>
      <w:r>
        <w:rPr/>
        <w:t>涉及体系改进策略。</w:t>
      </w:r>
    </w:p>
    <w:p>
      <w:pPr>
        <w:pStyle w:val="BodyText"/>
        <w:ind w:left="698"/>
      </w:pPr>
      <w:r>
        <w:rPr/>
        <w:t>改进职业健康安全绩效的机遇的示例：</w:t>
      </w:r>
    </w:p>
    <w:p>
      <w:pPr>
        <w:pStyle w:val="ListParagraph"/>
        <w:numPr>
          <w:ilvl w:val="4"/>
          <w:numId w:val="53"/>
        </w:numPr>
        <w:tabs>
          <w:tab w:pos="1059" w:val="left" w:leader="none"/>
        </w:tabs>
        <w:spacing w:line="240" w:lineRule="auto" w:before="43" w:after="0"/>
        <w:ind w:left="1058" w:right="0" w:hanging="361"/>
        <w:jc w:val="left"/>
        <w:rPr>
          <w:sz w:val="21"/>
        </w:rPr>
      </w:pPr>
      <w:r>
        <w:rPr>
          <w:sz w:val="21"/>
        </w:rPr>
        <w:t>发挥检查和审核作用；</w:t>
      </w:r>
    </w:p>
    <w:p>
      <w:pPr>
        <w:pStyle w:val="ListParagraph"/>
        <w:numPr>
          <w:ilvl w:val="4"/>
          <w:numId w:val="53"/>
        </w:numPr>
        <w:tabs>
          <w:tab w:pos="1059" w:val="left" w:leader="none"/>
        </w:tabs>
        <w:spacing w:line="240" w:lineRule="auto" w:before="43" w:after="0"/>
        <w:ind w:left="1058" w:right="0" w:hanging="361"/>
        <w:jc w:val="left"/>
        <w:rPr>
          <w:sz w:val="21"/>
        </w:rPr>
      </w:pPr>
      <w:r>
        <w:rPr>
          <w:sz w:val="21"/>
        </w:rPr>
        <w:t>工作危险源分析（工作安全分析）和相关任务评价；</w:t>
      </w:r>
    </w:p>
    <w:p>
      <w:pPr>
        <w:pStyle w:val="ListParagraph"/>
        <w:numPr>
          <w:ilvl w:val="4"/>
          <w:numId w:val="53"/>
        </w:numPr>
        <w:tabs>
          <w:tab w:pos="1059" w:val="left" w:leader="none"/>
        </w:tabs>
        <w:spacing w:line="240" w:lineRule="auto" w:before="43" w:after="0"/>
        <w:ind w:left="1058" w:right="0" w:hanging="361"/>
        <w:jc w:val="left"/>
        <w:rPr>
          <w:sz w:val="21"/>
        </w:rPr>
      </w:pPr>
      <w:r>
        <w:rPr>
          <w:sz w:val="21"/>
        </w:rPr>
        <w:t>通过减轻单调的工作或具有潜在危险的预设工作速率的工作来改进职业健康安全绩效；</w:t>
      </w:r>
    </w:p>
    <w:p>
      <w:pPr>
        <w:pStyle w:val="ListParagraph"/>
        <w:numPr>
          <w:ilvl w:val="4"/>
          <w:numId w:val="53"/>
        </w:numPr>
        <w:tabs>
          <w:tab w:pos="1059" w:val="left" w:leader="none"/>
        </w:tabs>
        <w:spacing w:line="240" w:lineRule="auto" w:before="43" w:after="0"/>
        <w:ind w:left="1058" w:right="0" w:hanging="361"/>
        <w:jc w:val="left"/>
        <w:rPr>
          <w:sz w:val="21"/>
        </w:rPr>
      </w:pPr>
      <w:r>
        <w:rPr>
          <w:sz w:val="21"/>
        </w:rPr>
        <w:t>工作许可及其他的认可和控制方法；</w:t>
      </w:r>
    </w:p>
    <w:p>
      <w:pPr>
        <w:pStyle w:val="ListParagraph"/>
        <w:numPr>
          <w:ilvl w:val="4"/>
          <w:numId w:val="53"/>
        </w:numPr>
        <w:tabs>
          <w:tab w:pos="1059" w:val="left" w:leader="none"/>
        </w:tabs>
        <w:spacing w:line="240" w:lineRule="auto" w:before="43" w:after="0"/>
        <w:ind w:left="1058" w:right="0" w:hanging="361"/>
        <w:jc w:val="left"/>
        <w:rPr>
          <w:sz w:val="21"/>
        </w:rPr>
      </w:pPr>
      <w:r>
        <w:rPr>
          <w:sz w:val="21"/>
        </w:rPr>
        <w:t>事件或不符合调查和纠正措施；</w:t>
      </w:r>
    </w:p>
    <w:p>
      <w:pPr>
        <w:pStyle w:val="ListParagraph"/>
        <w:numPr>
          <w:ilvl w:val="4"/>
          <w:numId w:val="53"/>
        </w:numPr>
        <w:tabs>
          <w:tab w:pos="1059" w:val="left" w:leader="none"/>
        </w:tabs>
        <w:spacing w:line="278" w:lineRule="auto" w:before="43" w:after="0"/>
        <w:ind w:left="698" w:right="4977" w:firstLine="0"/>
        <w:jc w:val="left"/>
        <w:rPr>
          <w:sz w:val="21"/>
        </w:rPr>
      </w:pPr>
      <w:r>
        <w:rPr>
          <w:sz w:val="21"/>
        </w:rPr>
        <w:t>人类工效学和其他与伤害预防有关的评价。改进职业健康安全绩效的其他机遇的示例：</w:t>
      </w:r>
    </w:p>
    <w:p>
      <w:pPr>
        <w:pStyle w:val="BodyText"/>
        <w:spacing w:line="278" w:lineRule="auto" w:before="0"/>
        <w:ind w:left="1118" w:right="434" w:hanging="420"/>
      </w:pPr>
      <w:r>
        <w:rPr>
          <w:w w:val="95"/>
        </w:rPr>
        <w:t>——对于设施重置、过程重设，或机器和厂房的更换的策划，在设施、设备或过程的生命周期最   </w:t>
      </w:r>
      <w:r>
        <w:rPr/>
        <w:t>早期阶段融入职业健康安全要求；</w:t>
      </w:r>
    </w:p>
    <w:p>
      <w:pPr>
        <w:pStyle w:val="BodyText"/>
        <w:spacing w:line="278" w:lineRule="auto" w:before="0"/>
        <w:ind w:left="1128" w:right="504" w:hanging="430"/>
      </w:pPr>
      <w:r>
        <w:rPr>
          <w:spacing w:val="-1"/>
          <w:w w:val="95"/>
        </w:rPr>
        <w:t>——对于设施重置、过程重设，或机器和厂房的更换，在策划的最早期阶段融入职业健康安全要   </w:t>
      </w:r>
      <w:r>
        <w:rPr>
          <w:spacing w:val="-1"/>
        </w:rPr>
        <w:t>求；</w:t>
      </w:r>
    </w:p>
    <w:p>
      <w:pPr>
        <w:pStyle w:val="BodyText"/>
        <w:spacing w:line="269" w:lineRule="exact" w:before="0"/>
        <w:ind w:left="698"/>
      </w:pPr>
      <w:r>
        <w:rPr/>
        <w:t>——应用新技术提升职业健康安全绩效；</w:t>
      </w:r>
    </w:p>
    <w:p>
      <w:pPr>
        <w:pStyle w:val="BodyText"/>
        <w:spacing w:line="278" w:lineRule="auto" w:before="42"/>
        <w:ind w:left="1118" w:right="506" w:hanging="420"/>
      </w:pPr>
      <w:r>
        <w:rPr>
          <w:spacing w:val="-1"/>
          <w:w w:val="95"/>
        </w:rPr>
        <w:t>——通过诸如扩展超越要求的与职业健康安全相关的能力，或鼓励工作人员及时报告事件等来改   </w:t>
      </w:r>
      <w:r>
        <w:rPr>
          <w:spacing w:val="-1"/>
        </w:rPr>
        <w:t>善职业健康安全文化；</w:t>
      </w:r>
    </w:p>
    <w:p>
      <w:pPr>
        <w:pStyle w:val="BodyText"/>
        <w:spacing w:line="269" w:lineRule="exact" w:before="0"/>
        <w:ind w:left="698"/>
      </w:pPr>
      <w:r>
        <w:rPr/>
        <w:t>——提高对最高管理者支持职业健康安全管理体系的感知度；</w:t>
      </w:r>
    </w:p>
    <w:p>
      <w:pPr>
        <w:pStyle w:val="BodyText"/>
        <w:ind w:left="698"/>
      </w:pPr>
      <w:r>
        <w:rPr/>
        <w:t>——强化事件调查过程；</w:t>
      </w:r>
    </w:p>
    <w:p>
      <w:pPr>
        <w:pStyle w:val="BodyText"/>
        <w:ind w:left="698"/>
      </w:pPr>
      <w:r>
        <w:rPr/>
        <w:t>——改进工作人员协商和参与的过程；</w:t>
      </w:r>
    </w:p>
    <w:p>
      <w:pPr>
        <w:pStyle w:val="BodyText"/>
        <w:ind w:left="698"/>
      </w:pPr>
      <w:r>
        <w:rPr/>
        <w:t>——标杆管理，包括考虑组织自身以往的绩效和其他组织的绩效；</w:t>
      </w:r>
    </w:p>
    <w:p>
      <w:pPr>
        <w:pStyle w:val="BodyText"/>
        <w:ind w:left="698"/>
      </w:pPr>
      <w:r>
        <w:rPr/>
        <w:t>——在职业健康安全专题论坛中寻求合作。</w:t>
      </w:r>
    </w:p>
    <w:p>
      <w:pPr>
        <w:pStyle w:val="ListParagraph"/>
        <w:numPr>
          <w:ilvl w:val="3"/>
          <w:numId w:val="53"/>
        </w:numPr>
        <w:tabs>
          <w:tab w:pos="1119" w:val="left" w:leader="none"/>
        </w:tabs>
        <w:spacing w:line="240" w:lineRule="auto" w:before="43" w:after="0"/>
        <w:ind w:left="1118" w:right="0" w:hanging="841"/>
        <w:jc w:val="left"/>
        <w:rPr>
          <w:rFonts w:ascii="黑体" w:eastAsia="黑体" w:hint="eastAsia"/>
          <w:sz w:val="21"/>
        </w:rPr>
      </w:pPr>
      <w:bookmarkStart w:name="A.6.1.2 危险源辨识及风险和机遇的评价" w:id="197"/>
      <w:bookmarkEnd w:id="197"/>
      <w:r>
        <w:rPr/>
      </w:r>
      <w:bookmarkStart w:name="A.6.1.2 危险源辨识及风险和机遇的评价" w:id="198"/>
      <w:bookmarkEnd w:id="198"/>
      <w:r>
        <w:rPr>
          <w:rFonts w:ascii="黑体" w:eastAsia="黑体" w:hint="eastAsia"/>
          <w:sz w:val="21"/>
        </w:rPr>
        <w:t>危险源辨识及风险和机遇的评价</w:t>
      </w:r>
    </w:p>
    <w:p>
      <w:pPr>
        <w:pStyle w:val="ListParagraph"/>
        <w:numPr>
          <w:ilvl w:val="4"/>
          <w:numId w:val="54"/>
        </w:numPr>
        <w:tabs>
          <w:tab w:pos="1328" w:val="left" w:leader="none"/>
        </w:tabs>
        <w:spacing w:line="240" w:lineRule="auto" w:before="43" w:after="0"/>
        <w:ind w:left="1327" w:right="0" w:hanging="1050"/>
        <w:jc w:val="left"/>
        <w:rPr>
          <w:rFonts w:ascii="黑体" w:eastAsia="黑体" w:hint="eastAsia"/>
          <w:sz w:val="21"/>
        </w:rPr>
      </w:pPr>
      <w:bookmarkStart w:name="A.6.1.2.1 危险源辨识" w:id="199"/>
      <w:bookmarkEnd w:id="199"/>
      <w:r>
        <w:rPr/>
      </w:r>
      <w:bookmarkStart w:name="A.6.1.2.1 危险源辨识" w:id="200"/>
      <w:bookmarkEnd w:id="200"/>
      <w:r>
        <w:rPr>
          <w:rFonts w:ascii="黑体" w:eastAsia="黑体" w:hint="eastAsia"/>
          <w:sz w:val="21"/>
        </w:rPr>
        <w:t>危险源辨识</w:t>
      </w:r>
    </w:p>
    <w:p>
      <w:pPr>
        <w:pStyle w:val="BodyText"/>
        <w:spacing w:line="278" w:lineRule="auto"/>
        <w:ind w:left="278" w:right="506" w:firstLine="420"/>
      </w:pPr>
      <w:r>
        <w:rPr>
          <w:w w:val="95"/>
        </w:rPr>
        <w:t>持续主动的危险源辨识始于任何新工作场所、设施、产品或组织的概念设计阶段。它宜随着设计   </w:t>
      </w:r>
      <w:r>
        <w:rPr/>
        <w:t>的细化及其随后的运行持续进行，并贯穿其整个生命周期，以反映当前的、变化的和未来的活动。</w:t>
      </w:r>
    </w:p>
    <w:p>
      <w:pPr>
        <w:pStyle w:val="BodyText"/>
        <w:spacing w:line="278" w:lineRule="auto" w:before="0"/>
        <w:ind w:left="278" w:right="508" w:firstLine="420"/>
      </w:pPr>
      <w:r>
        <w:rPr>
          <w:spacing w:val="-3"/>
          <w:w w:val="95"/>
        </w:rPr>
        <w:t>虽然本标准不涉及产品安全</w:t>
      </w:r>
      <w:r>
        <w:rPr>
          <w:w w:val="95"/>
        </w:rPr>
        <w:t>（即最终产品用户的安全</w:t>
      </w:r>
      <w:r>
        <w:rPr>
          <w:spacing w:val="-65"/>
          <w:w w:val="95"/>
        </w:rPr>
        <w:t>）</w:t>
      </w:r>
      <w:r>
        <w:rPr>
          <w:spacing w:val="-12"/>
          <w:w w:val="95"/>
        </w:rPr>
        <w:t>，但产品的制造、建造、装配或测试过程中   </w:t>
      </w:r>
      <w:r>
        <w:rPr>
          <w:spacing w:val="-12"/>
        </w:rPr>
        <w:t>所存在的危害工作人员的危险源宜予以考虑。</w:t>
      </w:r>
    </w:p>
    <w:p>
      <w:pPr>
        <w:pStyle w:val="BodyText"/>
        <w:spacing w:line="278" w:lineRule="auto" w:before="0"/>
        <w:ind w:left="278" w:right="506" w:firstLine="420"/>
      </w:pPr>
      <w:r>
        <w:rPr>
          <w:w w:val="95"/>
        </w:rPr>
        <w:t>危险源辨识有助于组织认识和理解工作场所中的危险源及其对工作人员的危害，以便评价、优先   </w:t>
      </w:r>
      <w:r>
        <w:rPr/>
        <w:t>排序并消除危险源或降低职业健康安全风险。</w:t>
      </w:r>
    </w:p>
    <w:p>
      <w:pPr>
        <w:spacing w:after="0" w:line="278" w:lineRule="auto"/>
        <w:sectPr>
          <w:pgSz w:w="11910" w:h="16840"/>
          <w:pgMar w:header="1442" w:footer="850" w:top="1660" w:bottom="1040" w:left="1140" w:right="740"/>
        </w:sectPr>
      </w:pPr>
    </w:p>
    <w:p>
      <w:pPr>
        <w:pStyle w:val="BodyText"/>
        <w:spacing w:line="278" w:lineRule="auto" w:before="157"/>
        <w:ind w:left="278" w:right="505" w:firstLine="420"/>
      </w:pPr>
      <w:r>
        <w:rPr/>
        <w:t>危险源可能是物理的、化学的、生物的、心理的、机械的、电的或基于运动或能量的。</w:t>
      </w:r>
      <w:r>
        <w:rPr>
          <w:rFonts w:ascii="Times New Roman" w:eastAsia="Times New Roman"/>
        </w:rPr>
        <w:t>6.1.2.1 </w:t>
      </w:r>
      <w:r>
        <w:rPr/>
        <w:t>所列并非详尽无遗。</w:t>
      </w:r>
    </w:p>
    <w:p>
      <w:pPr>
        <w:spacing w:before="20"/>
        <w:ind w:left="703" w:right="0" w:firstLine="0"/>
        <w:jc w:val="left"/>
        <w:rPr>
          <w:sz w:val="18"/>
        </w:rPr>
      </w:pPr>
      <w:r>
        <w:rPr>
          <w:sz w:val="18"/>
        </w:rPr>
        <w:t>注： 以下所列条目编号从a）到f）与6.1.2.1中所列条目的编号并非完全对应。</w:t>
      </w:r>
    </w:p>
    <w:p>
      <w:pPr>
        <w:pStyle w:val="BodyText"/>
        <w:spacing w:before="61"/>
        <w:ind w:left="698"/>
      </w:pPr>
      <w:r>
        <w:rPr/>
        <w:t>组织的危险源辨识过程宜考虑：</w:t>
      </w:r>
    </w:p>
    <w:p>
      <w:pPr>
        <w:pStyle w:val="ListParagraph"/>
        <w:numPr>
          <w:ilvl w:val="5"/>
          <w:numId w:val="54"/>
        </w:numPr>
        <w:tabs>
          <w:tab w:pos="1059" w:val="left" w:leader="none"/>
        </w:tabs>
        <w:spacing w:line="240" w:lineRule="auto" w:before="43" w:after="0"/>
        <w:ind w:left="1058" w:right="0" w:hanging="361"/>
        <w:jc w:val="left"/>
        <w:rPr>
          <w:sz w:val="21"/>
        </w:rPr>
      </w:pPr>
      <w:r>
        <w:rPr>
          <w:sz w:val="21"/>
        </w:rPr>
        <w:t>常规和非常规的活动和状况：</w:t>
      </w:r>
    </w:p>
    <w:p>
      <w:pPr>
        <w:pStyle w:val="ListParagraph"/>
        <w:numPr>
          <w:ilvl w:val="6"/>
          <w:numId w:val="54"/>
        </w:numPr>
        <w:tabs>
          <w:tab w:pos="1479" w:val="left" w:leader="none"/>
        </w:tabs>
        <w:spacing w:line="240" w:lineRule="auto" w:before="43" w:after="0"/>
        <w:ind w:left="1478" w:right="0" w:hanging="361"/>
        <w:jc w:val="left"/>
        <w:rPr>
          <w:sz w:val="21"/>
        </w:rPr>
      </w:pPr>
      <w:r>
        <w:rPr>
          <w:w w:val="95"/>
          <w:sz w:val="21"/>
        </w:rPr>
        <w:t>常规的活动和状况经由日常运行和正常工作活动产生危险源；</w:t>
      </w:r>
    </w:p>
    <w:p>
      <w:pPr>
        <w:pStyle w:val="ListParagraph"/>
        <w:numPr>
          <w:ilvl w:val="6"/>
          <w:numId w:val="54"/>
        </w:numPr>
        <w:tabs>
          <w:tab w:pos="1479" w:val="left" w:leader="none"/>
        </w:tabs>
        <w:spacing w:line="240" w:lineRule="auto" w:before="43" w:after="0"/>
        <w:ind w:left="1478" w:right="0" w:hanging="361"/>
        <w:jc w:val="left"/>
        <w:rPr>
          <w:sz w:val="21"/>
        </w:rPr>
      </w:pPr>
      <w:r>
        <w:rPr>
          <w:w w:val="95"/>
          <w:sz w:val="21"/>
        </w:rPr>
        <w:t>非常规的活动和状况是指偶然出现的或非计划的活动和状况；</w:t>
      </w:r>
    </w:p>
    <w:p>
      <w:pPr>
        <w:pStyle w:val="ListParagraph"/>
        <w:numPr>
          <w:ilvl w:val="6"/>
          <w:numId w:val="54"/>
        </w:numPr>
        <w:tabs>
          <w:tab w:pos="1479" w:val="left" w:leader="none"/>
        </w:tabs>
        <w:spacing w:line="240" w:lineRule="auto" w:before="43" w:after="0"/>
        <w:ind w:left="1478" w:right="0" w:hanging="361"/>
        <w:jc w:val="left"/>
        <w:rPr>
          <w:sz w:val="21"/>
        </w:rPr>
      </w:pPr>
      <w:r>
        <w:rPr>
          <w:sz w:val="21"/>
        </w:rPr>
        <w:t>短期的活动或长期的活动可产生不同的危险源；</w:t>
      </w:r>
    </w:p>
    <w:p>
      <w:pPr>
        <w:pStyle w:val="ListParagraph"/>
        <w:numPr>
          <w:ilvl w:val="5"/>
          <w:numId w:val="54"/>
        </w:numPr>
        <w:tabs>
          <w:tab w:pos="1059" w:val="left" w:leader="none"/>
        </w:tabs>
        <w:spacing w:line="240" w:lineRule="auto" w:before="43" w:after="0"/>
        <w:ind w:left="1058" w:right="0" w:hanging="361"/>
        <w:jc w:val="left"/>
        <w:rPr>
          <w:sz w:val="21"/>
        </w:rPr>
      </w:pPr>
      <w:r>
        <w:rPr>
          <w:sz w:val="21"/>
        </w:rPr>
        <w:t>人的因素：</w:t>
      </w:r>
    </w:p>
    <w:p>
      <w:pPr>
        <w:pStyle w:val="ListParagraph"/>
        <w:numPr>
          <w:ilvl w:val="6"/>
          <w:numId w:val="54"/>
        </w:numPr>
        <w:tabs>
          <w:tab w:pos="1479" w:val="left" w:leader="none"/>
        </w:tabs>
        <w:spacing w:line="240" w:lineRule="auto" w:before="43" w:after="0"/>
        <w:ind w:left="1478" w:right="0" w:hanging="361"/>
        <w:jc w:val="left"/>
        <w:rPr>
          <w:sz w:val="21"/>
        </w:rPr>
      </w:pPr>
      <w:r>
        <w:rPr>
          <w:sz w:val="21"/>
        </w:rPr>
        <w:t>与人的能力、局限性及其他特征有关；</w:t>
      </w:r>
    </w:p>
    <w:p>
      <w:pPr>
        <w:pStyle w:val="ListParagraph"/>
        <w:numPr>
          <w:ilvl w:val="6"/>
          <w:numId w:val="54"/>
        </w:numPr>
        <w:tabs>
          <w:tab w:pos="1479" w:val="left" w:leader="none"/>
        </w:tabs>
        <w:spacing w:line="240" w:lineRule="auto" w:before="43" w:after="0"/>
        <w:ind w:left="1478" w:right="0" w:hanging="361"/>
        <w:jc w:val="left"/>
        <w:rPr>
          <w:sz w:val="21"/>
        </w:rPr>
      </w:pPr>
      <w:r>
        <w:rPr>
          <w:sz w:val="21"/>
        </w:rPr>
        <w:t>为了人能够安全和舒适的使用而应用于工具、机器、系统、活动或环境的信息；</w:t>
      </w:r>
    </w:p>
    <w:p>
      <w:pPr>
        <w:pStyle w:val="ListParagraph"/>
        <w:numPr>
          <w:ilvl w:val="6"/>
          <w:numId w:val="54"/>
        </w:numPr>
        <w:tabs>
          <w:tab w:pos="1479" w:val="left" w:leader="none"/>
        </w:tabs>
        <w:spacing w:line="278" w:lineRule="auto" w:before="43" w:after="0"/>
        <w:ind w:left="1478" w:right="506" w:hanging="360"/>
        <w:jc w:val="left"/>
        <w:rPr>
          <w:sz w:val="21"/>
        </w:rPr>
      </w:pPr>
      <w:r>
        <w:rPr>
          <w:sz w:val="21"/>
        </w:rPr>
        <w:t>宜考虑三个方面：活动、工作人员和组织，以及它们之间是如何相互作用并对职业健康安全产生影响的；</w:t>
      </w:r>
    </w:p>
    <w:p>
      <w:pPr>
        <w:pStyle w:val="ListParagraph"/>
        <w:numPr>
          <w:ilvl w:val="5"/>
          <w:numId w:val="54"/>
        </w:numPr>
        <w:tabs>
          <w:tab w:pos="1059" w:val="left" w:leader="none"/>
        </w:tabs>
        <w:spacing w:line="269" w:lineRule="exact" w:before="0" w:after="0"/>
        <w:ind w:left="1058" w:right="0" w:hanging="361"/>
        <w:jc w:val="left"/>
        <w:rPr>
          <w:sz w:val="21"/>
        </w:rPr>
      </w:pPr>
      <w:r>
        <w:rPr>
          <w:sz w:val="21"/>
        </w:rPr>
        <w:t>新的或变化的危险源：</w:t>
      </w:r>
    </w:p>
    <w:p>
      <w:pPr>
        <w:pStyle w:val="ListParagraph"/>
        <w:numPr>
          <w:ilvl w:val="6"/>
          <w:numId w:val="54"/>
        </w:numPr>
        <w:tabs>
          <w:tab w:pos="1479" w:val="left" w:leader="none"/>
        </w:tabs>
        <w:spacing w:line="240" w:lineRule="auto" w:before="43" w:after="0"/>
        <w:ind w:left="1478" w:right="0" w:hanging="361"/>
        <w:jc w:val="left"/>
        <w:rPr>
          <w:sz w:val="21"/>
        </w:rPr>
      </w:pPr>
      <w:r>
        <w:rPr>
          <w:spacing w:val="-2"/>
          <w:sz w:val="21"/>
        </w:rPr>
        <w:t>可在因过于熟悉环境或环境变化而导致工作过程恶化、被更改、被适应或被演变时产生；</w:t>
      </w:r>
    </w:p>
    <w:p>
      <w:pPr>
        <w:pStyle w:val="ListParagraph"/>
        <w:numPr>
          <w:ilvl w:val="6"/>
          <w:numId w:val="54"/>
        </w:numPr>
        <w:tabs>
          <w:tab w:pos="1479" w:val="left" w:leader="none"/>
        </w:tabs>
        <w:spacing w:line="278" w:lineRule="auto" w:before="43" w:after="0"/>
        <w:ind w:left="1478" w:right="506" w:hanging="360"/>
        <w:jc w:val="left"/>
        <w:rPr>
          <w:sz w:val="21"/>
        </w:rPr>
      </w:pPr>
      <w:r>
        <w:rPr>
          <w:sz w:val="21"/>
        </w:rPr>
        <w:t>对工作实际开展情况的了解（如与工作人员一起观察和讨论危险源）能识别职业健康安全风险是否增加或降低；</w:t>
      </w:r>
    </w:p>
    <w:p>
      <w:pPr>
        <w:pStyle w:val="ListParagraph"/>
        <w:numPr>
          <w:ilvl w:val="5"/>
          <w:numId w:val="54"/>
        </w:numPr>
        <w:tabs>
          <w:tab w:pos="1059" w:val="left" w:leader="none"/>
        </w:tabs>
        <w:spacing w:line="269" w:lineRule="exact" w:before="0" w:after="0"/>
        <w:ind w:left="1058" w:right="0" w:hanging="361"/>
        <w:jc w:val="left"/>
        <w:rPr>
          <w:sz w:val="21"/>
        </w:rPr>
      </w:pPr>
      <w:r>
        <w:rPr>
          <w:sz w:val="21"/>
        </w:rPr>
        <w:t>潜在紧急情况：</w:t>
      </w:r>
    </w:p>
    <w:p>
      <w:pPr>
        <w:pStyle w:val="ListParagraph"/>
        <w:numPr>
          <w:ilvl w:val="6"/>
          <w:numId w:val="54"/>
        </w:numPr>
        <w:tabs>
          <w:tab w:pos="1479" w:val="left" w:leader="none"/>
        </w:tabs>
        <w:spacing w:line="278" w:lineRule="auto" w:before="43" w:after="0"/>
        <w:ind w:left="1478" w:right="506" w:hanging="360"/>
        <w:jc w:val="left"/>
        <w:rPr>
          <w:rFonts w:ascii="Times New Roman" w:eastAsia="Times New Roman"/>
          <w:sz w:val="21"/>
        </w:rPr>
      </w:pPr>
      <w:r>
        <w:rPr>
          <w:sz w:val="21"/>
        </w:rPr>
        <w:t>需立即做出响应的、意外的或非计划的状况（如工作场所的机器着火；工作场所附近的自然灾害；工作人员正在从事与工作有关活动的其他地点的自然灾害）</w:t>
      </w:r>
      <w:r>
        <w:rPr>
          <w:rFonts w:ascii="Times New Roman" w:eastAsia="Times New Roman"/>
          <w:sz w:val="21"/>
        </w:rPr>
        <w:t>;</w:t>
      </w:r>
    </w:p>
    <w:p>
      <w:pPr>
        <w:pStyle w:val="ListParagraph"/>
        <w:numPr>
          <w:ilvl w:val="6"/>
          <w:numId w:val="54"/>
        </w:numPr>
        <w:tabs>
          <w:tab w:pos="1479" w:val="left" w:leader="none"/>
        </w:tabs>
        <w:spacing w:line="278" w:lineRule="auto" w:before="0" w:after="0"/>
        <w:ind w:left="1478" w:right="506" w:hanging="360"/>
        <w:jc w:val="left"/>
        <w:rPr>
          <w:sz w:val="21"/>
        </w:rPr>
      </w:pPr>
      <w:r>
        <w:rPr>
          <w:sz w:val="21"/>
        </w:rPr>
        <w:t>包括诸如在工作人员正从事与工作相关活动的地点发生了内乱而需要他们紧急疏散的情况。</w:t>
      </w:r>
    </w:p>
    <w:p>
      <w:pPr>
        <w:pStyle w:val="ListParagraph"/>
        <w:numPr>
          <w:ilvl w:val="5"/>
          <w:numId w:val="54"/>
        </w:numPr>
        <w:tabs>
          <w:tab w:pos="1059" w:val="left" w:leader="none"/>
        </w:tabs>
        <w:spacing w:line="269" w:lineRule="exact" w:before="0" w:after="0"/>
        <w:ind w:left="1058" w:right="0" w:hanging="361"/>
        <w:jc w:val="left"/>
        <w:rPr>
          <w:sz w:val="21"/>
        </w:rPr>
      </w:pPr>
      <w:r>
        <w:rPr>
          <w:sz w:val="21"/>
        </w:rPr>
        <w:t>人员：</w:t>
      </w:r>
    </w:p>
    <w:p>
      <w:pPr>
        <w:pStyle w:val="ListParagraph"/>
        <w:numPr>
          <w:ilvl w:val="6"/>
          <w:numId w:val="54"/>
        </w:numPr>
        <w:tabs>
          <w:tab w:pos="1479" w:val="left" w:leader="none"/>
        </w:tabs>
        <w:spacing w:line="240" w:lineRule="auto" w:before="42" w:after="0"/>
        <w:ind w:left="1478" w:right="0" w:hanging="361"/>
        <w:jc w:val="both"/>
        <w:rPr>
          <w:sz w:val="21"/>
        </w:rPr>
      </w:pPr>
      <w:r>
        <w:rPr>
          <w:spacing w:val="-1"/>
          <w:w w:val="99"/>
          <w:sz w:val="21"/>
        </w:rPr>
        <w:t>工作场所附近、可能受组织活动影响的人员</w:t>
      </w:r>
      <w:r>
        <w:rPr>
          <w:spacing w:val="2"/>
          <w:w w:val="99"/>
          <w:sz w:val="21"/>
        </w:rPr>
        <w:t>（</w:t>
      </w:r>
      <w:r>
        <w:rPr>
          <w:spacing w:val="-1"/>
          <w:w w:val="99"/>
          <w:sz w:val="21"/>
        </w:rPr>
        <w:t>如路人、承包方或近邻</w:t>
      </w:r>
      <w:r>
        <w:rPr>
          <w:spacing w:val="-104"/>
          <w:w w:val="99"/>
          <w:sz w:val="21"/>
        </w:rPr>
        <w:t>）</w:t>
      </w:r>
      <w:r>
        <w:rPr>
          <w:w w:val="99"/>
          <w:sz w:val="21"/>
        </w:rPr>
        <w:t>；</w:t>
      </w:r>
    </w:p>
    <w:p>
      <w:pPr>
        <w:pStyle w:val="ListParagraph"/>
        <w:numPr>
          <w:ilvl w:val="6"/>
          <w:numId w:val="54"/>
        </w:numPr>
        <w:tabs>
          <w:tab w:pos="1479" w:val="left" w:leader="none"/>
        </w:tabs>
        <w:spacing w:line="278" w:lineRule="auto" w:before="43" w:after="0"/>
        <w:ind w:left="1478" w:right="506" w:hanging="360"/>
        <w:jc w:val="both"/>
        <w:rPr>
          <w:sz w:val="21"/>
        </w:rPr>
      </w:pPr>
      <w:r>
        <w:rPr>
          <w:sz w:val="21"/>
        </w:rPr>
        <w:t>处于不在组织直接控制下的地点的工作人员，如从事流动工作的人员或前往其他地点从事与工作有关活动的人员（如邮政工作人员、公共汽车司机、前往客户现场工作的服务</w:t>
      </w:r>
      <w:r>
        <w:rPr>
          <w:w w:val="99"/>
          <w:sz w:val="21"/>
        </w:rPr>
        <w:t>人员</w:t>
      </w:r>
      <w:r>
        <w:rPr>
          <w:spacing w:val="-104"/>
          <w:w w:val="99"/>
          <w:sz w:val="21"/>
        </w:rPr>
        <w:t>）</w:t>
      </w:r>
      <w:r>
        <w:rPr>
          <w:w w:val="99"/>
          <w:sz w:val="21"/>
        </w:rPr>
        <w:t>；</w:t>
      </w:r>
    </w:p>
    <w:p>
      <w:pPr>
        <w:pStyle w:val="ListParagraph"/>
        <w:numPr>
          <w:ilvl w:val="6"/>
          <w:numId w:val="54"/>
        </w:numPr>
        <w:tabs>
          <w:tab w:pos="1479" w:val="left" w:leader="none"/>
        </w:tabs>
        <w:spacing w:line="269" w:lineRule="exact" w:before="0" w:after="0"/>
        <w:ind w:left="1478" w:right="0" w:hanging="361"/>
        <w:jc w:val="both"/>
        <w:rPr>
          <w:sz w:val="21"/>
        </w:rPr>
      </w:pPr>
      <w:r>
        <w:rPr>
          <w:sz w:val="21"/>
        </w:rPr>
        <w:t>在家工作或独自工作的工作人员；</w:t>
      </w:r>
    </w:p>
    <w:p>
      <w:pPr>
        <w:pStyle w:val="ListParagraph"/>
        <w:numPr>
          <w:ilvl w:val="5"/>
          <w:numId w:val="54"/>
        </w:numPr>
        <w:tabs>
          <w:tab w:pos="1059" w:val="left" w:leader="none"/>
        </w:tabs>
        <w:spacing w:line="240" w:lineRule="auto" w:before="43" w:after="0"/>
        <w:ind w:left="1058" w:right="0" w:hanging="361"/>
        <w:jc w:val="both"/>
        <w:rPr>
          <w:sz w:val="21"/>
        </w:rPr>
      </w:pPr>
      <w:r>
        <w:rPr>
          <w:sz w:val="21"/>
        </w:rPr>
        <w:t>有关危险源的知识或信息的变化；</w:t>
      </w:r>
    </w:p>
    <w:p>
      <w:pPr>
        <w:pStyle w:val="ListParagraph"/>
        <w:numPr>
          <w:ilvl w:val="6"/>
          <w:numId w:val="54"/>
        </w:numPr>
        <w:tabs>
          <w:tab w:pos="1479" w:val="left" w:leader="none"/>
        </w:tabs>
        <w:spacing w:line="278" w:lineRule="auto" w:before="43" w:after="0"/>
        <w:ind w:left="1478" w:right="506" w:hanging="360"/>
        <w:jc w:val="both"/>
        <w:rPr>
          <w:sz w:val="21"/>
        </w:rPr>
      </w:pPr>
      <w:r>
        <w:rPr>
          <w:sz w:val="21"/>
        </w:rPr>
        <w:t>有关危险源的知识、信息和新的理解可能来自于公开的文献、研究与开发、工作人员的反馈，以及组织自身运行经验的评审；</w:t>
      </w:r>
    </w:p>
    <w:p>
      <w:pPr>
        <w:pStyle w:val="ListParagraph"/>
        <w:numPr>
          <w:ilvl w:val="6"/>
          <w:numId w:val="54"/>
        </w:numPr>
        <w:tabs>
          <w:tab w:pos="1479" w:val="left" w:leader="none"/>
        </w:tabs>
        <w:spacing w:line="269" w:lineRule="exact" w:before="0" w:after="0"/>
        <w:ind w:left="1478" w:right="0" w:hanging="361"/>
        <w:jc w:val="both"/>
        <w:rPr>
          <w:sz w:val="21"/>
        </w:rPr>
      </w:pPr>
      <w:r>
        <w:rPr>
          <w:sz w:val="21"/>
        </w:rPr>
        <w:t>这些来源能够提供有关危险源和职业健康安全风险的新信息。</w:t>
      </w:r>
    </w:p>
    <w:p>
      <w:pPr>
        <w:pStyle w:val="ListParagraph"/>
        <w:numPr>
          <w:ilvl w:val="4"/>
          <w:numId w:val="54"/>
        </w:numPr>
        <w:tabs>
          <w:tab w:pos="1328" w:val="left" w:leader="none"/>
        </w:tabs>
        <w:spacing w:line="240" w:lineRule="auto" w:before="43" w:after="0"/>
        <w:ind w:left="1327" w:right="0" w:hanging="1050"/>
        <w:jc w:val="left"/>
        <w:rPr>
          <w:rFonts w:ascii="黑体" w:eastAsia="黑体" w:hint="eastAsia"/>
          <w:sz w:val="21"/>
        </w:rPr>
      </w:pPr>
      <w:bookmarkStart w:name="A.6.1.2.2 职业健康安全风险和职业健康安全管理体系的其他风险的评价" w:id="201"/>
      <w:bookmarkEnd w:id="201"/>
      <w:r>
        <w:rPr/>
      </w:r>
      <w:bookmarkStart w:name="A.6.1.2.2 职业健康安全风险和职业健康安全管理体系的其他风险的评价" w:id="202"/>
      <w:bookmarkEnd w:id="202"/>
      <w:r>
        <w:rPr>
          <w:rFonts w:ascii="黑体" w:eastAsia="黑体" w:hint="eastAsia"/>
          <w:sz w:val="21"/>
        </w:rPr>
        <w:t>职业健康安全风险和职业健康安全管理体系的其他风险的评价</w:t>
      </w:r>
    </w:p>
    <w:p>
      <w:pPr>
        <w:pStyle w:val="BodyText"/>
        <w:spacing w:line="278" w:lineRule="auto"/>
        <w:ind w:left="278" w:right="506" w:firstLine="420"/>
      </w:pPr>
      <w:r>
        <w:rPr>
          <w:w w:val="95"/>
        </w:rPr>
        <w:t>组织可以采用不同方法来评价职业健康安全风险，作为其应对不同危险源或活动的总体战略的一   </w:t>
      </w:r>
      <w:r>
        <w:rPr/>
        <w:t>部分。评价的方法和复杂程度并不取决于组织的规模，而取决于与组织的活动有关的危险源。</w:t>
      </w:r>
    </w:p>
    <w:p>
      <w:pPr>
        <w:pStyle w:val="BodyText"/>
        <w:spacing w:line="269" w:lineRule="exact" w:before="0"/>
        <w:ind w:left="698"/>
      </w:pPr>
      <w:r>
        <w:rPr/>
        <w:t>职业健康安全管理体系的其他风险也宜采用适当的方法进行评价。</w:t>
      </w:r>
    </w:p>
    <w:p>
      <w:pPr>
        <w:pStyle w:val="BodyText"/>
        <w:spacing w:line="278" w:lineRule="auto"/>
        <w:ind w:left="278" w:right="400" w:firstLine="420"/>
      </w:pPr>
      <w:r>
        <w:rPr/>
        <w:t>职业健康安全管理体系的风险评价过程宜考虑日常运行和决策（如工作流程中的峰巅、重组）以</w:t>
      </w:r>
      <w:r>
        <w:rPr>
          <w:spacing w:val="-8"/>
          <w:w w:val="95"/>
        </w:rPr>
        <w:t>及外部议题</w:t>
      </w:r>
      <w:r>
        <w:rPr>
          <w:spacing w:val="-3"/>
          <w:w w:val="95"/>
        </w:rPr>
        <w:t>（</w:t>
      </w:r>
      <w:r>
        <w:rPr>
          <w:w w:val="95"/>
        </w:rPr>
        <w:t>如经济变化</w:t>
      </w:r>
      <w:r>
        <w:rPr>
          <w:spacing w:val="-104"/>
          <w:w w:val="95"/>
        </w:rPr>
        <w:t>）</w:t>
      </w:r>
      <w:r>
        <w:rPr>
          <w:spacing w:val="-13"/>
          <w:w w:val="95"/>
        </w:rPr>
        <w:t>。方法可包括：与受日常活动</w:t>
      </w:r>
      <w:r>
        <w:rPr>
          <w:spacing w:val="-3"/>
          <w:w w:val="95"/>
        </w:rPr>
        <w:t>（</w:t>
      </w:r>
      <w:r>
        <w:rPr>
          <w:w w:val="95"/>
        </w:rPr>
        <w:t>如工作量的变化</w:t>
      </w:r>
      <w:r>
        <w:rPr>
          <w:spacing w:val="-41"/>
          <w:w w:val="95"/>
        </w:rPr>
        <w:t>）</w:t>
      </w:r>
      <w:r>
        <w:rPr>
          <w:w w:val="95"/>
        </w:rPr>
        <w:t>影响的工作人员持续协商；   </w:t>
      </w:r>
      <w:r>
        <w:rPr/>
        <w:t>对新的法律法规要求和其他要求（如监管改革、与职业健康安全有关的集体协议的修订）进行监视和沟通；确保资源满足当前和变化的需求（如针对新改进的设备或物料开展培训或采购</w:t>
      </w:r>
      <w:r>
        <w:rPr>
          <w:spacing w:val="-104"/>
        </w:rPr>
        <w:t>）</w:t>
      </w:r>
      <w:r>
        <w:rPr/>
        <w:t>。</w:t>
      </w:r>
    </w:p>
    <w:p>
      <w:pPr>
        <w:pStyle w:val="ListParagraph"/>
        <w:numPr>
          <w:ilvl w:val="4"/>
          <w:numId w:val="54"/>
        </w:numPr>
        <w:tabs>
          <w:tab w:pos="1328" w:val="left" w:leader="none"/>
        </w:tabs>
        <w:spacing w:line="269" w:lineRule="exact" w:before="0" w:after="0"/>
        <w:ind w:left="1327" w:right="0" w:hanging="1050"/>
        <w:jc w:val="left"/>
        <w:rPr>
          <w:rFonts w:ascii="黑体" w:eastAsia="黑体" w:hint="eastAsia"/>
          <w:sz w:val="21"/>
        </w:rPr>
      </w:pPr>
      <w:bookmarkStart w:name="A.6.1.2.3 职业健康安全机遇和职业健康安全管理体系的其他机遇的评价" w:id="203"/>
      <w:bookmarkEnd w:id="203"/>
      <w:r>
        <w:rPr/>
      </w:r>
      <w:bookmarkStart w:name="A.6.1.2.3 职业健康安全机遇和职业健康安全管理体系的其他机遇的评价" w:id="204"/>
      <w:bookmarkEnd w:id="204"/>
      <w:r>
        <w:rPr>
          <w:rFonts w:ascii="黑体" w:eastAsia="黑体" w:hint="eastAsia"/>
          <w:w w:val="95"/>
          <w:sz w:val="21"/>
        </w:rPr>
        <w:t>职业健康安全机遇和职业健康安全管理体系的其他机遇的评价</w:t>
      </w:r>
    </w:p>
    <w:p>
      <w:pPr>
        <w:pStyle w:val="BodyText"/>
        <w:spacing w:line="278" w:lineRule="auto"/>
        <w:ind w:left="278" w:right="506" w:firstLine="420"/>
      </w:pPr>
      <w:r>
        <w:rPr>
          <w:w w:val="95"/>
        </w:rPr>
        <w:t>评价过程宜考虑所确定的职业健康安全机遇和其他机遇，以及它们的益处和改进职业健康安全绩   </w:t>
      </w:r>
      <w:r>
        <w:rPr/>
        <w:t>效的潜力。</w:t>
      </w:r>
    </w:p>
    <w:p>
      <w:pPr>
        <w:pStyle w:val="ListParagraph"/>
        <w:numPr>
          <w:ilvl w:val="3"/>
          <w:numId w:val="53"/>
        </w:numPr>
        <w:tabs>
          <w:tab w:pos="1016" w:val="left" w:leader="none"/>
        </w:tabs>
        <w:spacing w:line="269" w:lineRule="exact" w:before="0" w:after="0"/>
        <w:ind w:left="1015" w:right="0" w:hanging="738"/>
        <w:jc w:val="left"/>
        <w:rPr>
          <w:rFonts w:ascii="黑体" w:eastAsia="黑体" w:hint="eastAsia"/>
          <w:sz w:val="21"/>
        </w:rPr>
      </w:pPr>
      <w:bookmarkStart w:name="A.6.1.3法律法规要求和其他要求的确定" w:id="205"/>
      <w:bookmarkEnd w:id="205"/>
      <w:r>
        <w:rPr/>
      </w:r>
      <w:bookmarkStart w:name="A.6.1.3法律法规要求和其他要求的确定" w:id="206"/>
      <w:bookmarkEnd w:id="206"/>
      <w:r>
        <w:rPr>
          <w:rFonts w:ascii="黑体" w:eastAsia="黑体" w:hint="eastAsia"/>
          <w:sz w:val="21"/>
        </w:rPr>
        <w:t>法律法规要求和其他要求的确定</w:t>
      </w:r>
    </w:p>
    <w:p>
      <w:pPr>
        <w:spacing w:after="0" w:line="269" w:lineRule="exact"/>
        <w:jc w:val="left"/>
        <w:rPr>
          <w:rFonts w:ascii="黑体" w:eastAsia="黑体" w:hint="eastAsia"/>
          <w:sz w:val="21"/>
        </w:rPr>
        <w:sectPr>
          <w:pgSz w:w="11910" w:h="16840"/>
          <w:pgMar w:header="1442" w:footer="850" w:top="1660" w:bottom="1040" w:left="1140" w:right="740"/>
        </w:sectPr>
      </w:pPr>
    </w:p>
    <w:p>
      <w:pPr>
        <w:pStyle w:val="ListParagraph"/>
        <w:numPr>
          <w:ilvl w:val="4"/>
          <w:numId w:val="53"/>
        </w:numPr>
        <w:tabs>
          <w:tab w:pos="1059" w:val="left" w:leader="none"/>
        </w:tabs>
        <w:spacing w:line="240" w:lineRule="auto" w:before="157" w:after="0"/>
        <w:ind w:left="1058" w:right="0" w:hanging="361"/>
        <w:jc w:val="left"/>
        <w:rPr>
          <w:sz w:val="21"/>
        </w:rPr>
      </w:pPr>
      <w:r>
        <w:rPr>
          <w:sz w:val="21"/>
        </w:rPr>
        <w:t>法律法规要求可包括：</w:t>
      </w:r>
    </w:p>
    <w:p>
      <w:pPr>
        <w:pStyle w:val="ListParagraph"/>
        <w:numPr>
          <w:ilvl w:val="5"/>
          <w:numId w:val="53"/>
        </w:numPr>
        <w:tabs>
          <w:tab w:pos="1479" w:val="left" w:leader="none"/>
        </w:tabs>
        <w:spacing w:line="240" w:lineRule="auto" w:before="43" w:after="0"/>
        <w:ind w:left="1478" w:right="0" w:hanging="361"/>
        <w:jc w:val="left"/>
        <w:rPr>
          <w:sz w:val="21"/>
        </w:rPr>
      </w:pPr>
      <w:r>
        <w:rPr>
          <w:spacing w:val="-1"/>
          <w:w w:val="99"/>
          <w:sz w:val="21"/>
        </w:rPr>
        <w:t>法律法规（国家的、区域的或国际的</w:t>
      </w:r>
      <w:r>
        <w:rPr>
          <w:spacing w:val="-104"/>
          <w:w w:val="99"/>
          <w:sz w:val="21"/>
        </w:rPr>
        <w:t>）</w:t>
      </w:r>
      <w:r>
        <w:rPr>
          <w:spacing w:val="-1"/>
          <w:w w:val="99"/>
          <w:sz w:val="21"/>
        </w:rPr>
        <w:t>，包括法律、法规和规章；</w:t>
      </w:r>
    </w:p>
    <w:p>
      <w:pPr>
        <w:pStyle w:val="ListParagraph"/>
        <w:numPr>
          <w:ilvl w:val="5"/>
          <w:numId w:val="53"/>
        </w:numPr>
        <w:tabs>
          <w:tab w:pos="1479" w:val="left" w:leader="none"/>
        </w:tabs>
        <w:spacing w:line="240" w:lineRule="auto" w:before="43" w:after="0"/>
        <w:ind w:left="1478" w:right="0" w:hanging="361"/>
        <w:jc w:val="left"/>
        <w:rPr>
          <w:sz w:val="21"/>
        </w:rPr>
      </w:pPr>
      <w:r>
        <w:rPr>
          <w:sz w:val="21"/>
        </w:rPr>
        <w:t>法令和指令；</w:t>
      </w:r>
    </w:p>
    <w:p>
      <w:pPr>
        <w:pStyle w:val="ListParagraph"/>
        <w:numPr>
          <w:ilvl w:val="5"/>
          <w:numId w:val="53"/>
        </w:numPr>
        <w:tabs>
          <w:tab w:pos="1479" w:val="left" w:leader="none"/>
        </w:tabs>
        <w:spacing w:line="240" w:lineRule="auto" w:before="43" w:after="0"/>
        <w:ind w:left="1478" w:right="0" w:hanging="361"/>
        <w:jc w:val="left"/>
        <w:rPr>
          <w:sz w:val="21"/>
        </w:rPr>
      </w:pPr>
      <w:r>
        <w:rPr>
          <w:sz w:val="21"/>
        </w:rPr>
        <w:t>监管部门发布的命令；</w:t>
      </w:r>
    </w:p>
    <w:p>
      <w:pPr>
        <w:pStyle w:val="ListParagraph"/>
        <w:numPr>
          <w:ilvl w:val="5"/>
          <w:numId w:val="53"/>
        </w:numPr>
        <w:tabs>
          <w:tab w:pos="1479" w:val="left" w:leader="none"/>
        </w:tabs>
        <w:spacing w:line="240" w:lineRule="auto" w:before="43" w:after="0"/>
        <w:ind w:left="1478" w:right="0" w:hanging="361"/>
        <w:jc w:val="left"/>
        <w:rPr>
          <w:sz w:val="21"/>
        </w:rPr>
      </w:pPr>
      <w:r>
        <w:rPr>
          <w:sz w:val="21"/>
        </w:rPr>
        <w:t>许可、执照或其他形式的授权；</w:t>
      </w:r>
    </w:p>
    <w:p>
      <w:pPr>
        <w:pStyle w:val="ListParagraph"/>
        <w:numPr>
          <w:ilvl w:val="5"/>
          <w:numId w:val="53"/>
        </w:numPr>
        <w:tabs>
          <w:tab w:pos="1479" w:val="left" w:leader="none"/>
        </w:tabs>
        <w:spacing w:line="240" w:lineRule="auto" w:before="43" w:after="0"/>
        <w:ind w:left="1478" w:right="0" w:hanging="361"/>
        <w:jc w:val="left"/>
        <w:rPr>
          <w:sz w:val="21"/>
        </w:rPr>
      </w:pPr>
      <w:r>
        <w:rPr>
          <w:w w:val="95"/>
          <w:sz w:val="21"/>
        </w:rPr>
        <w:t>法院判决或行政裁决；</w:t>
      </w:r>
    </w:p>
    <w:p>
      <w:pPr>
        <w:pStyle w:val="ListParagraph"/>
        <w:numPr>
          <w:ilvl w:val="5"/>
          <w:numId w:val="53"/>
        </w:numPr>
        <w:tabs>
          <w:tab w:pos="1479" w:val="left" w:leader="none"/>
        </w:tabs>
        <w:spacing w:line="240" w:lineRule="auto" w:before="43" w:after="0"/>
        <w:ind w:left="1478" w:right="0" w:hanging="361"/>
        <w:jc w:val="left"/>
        <w:rPr>
          <w:sz w:val="21"/>
        </w:rPr>
      </w:pPr>
      <w:r>
        <w:rPr>
          <w:w w:val="95"/>
          <w:sz w:val="21"/>
        </w:rPr>
        <w:t>条约、公约、议定书；</w:t>
      </w:r>
    </w:p>
    <w:p>
      <w:pPr>
        <w:pStyle w:val="ListParagraph"/>
        <w:numPr>
          <w:ilvl w:val="5"/>
          <w:numId w:val="53"/>
        </w:numPr>
        <w:tabs>
          <w:tab w:pos="1479" w:val="left" w:leader="none"/>
        </w:tabs>
        <w:spacing w:line="240" w:lineRule="auto" w:before="43" w:after="0"/>
        <w:ind w:left="1478" w:right="0" w:hanging="361"/>
        <w:jc w:val="left"/>
        <w:rPr>
          <w:sz w:val="21"/>
        </w:rPr>
      </w:pPr>
      <w:r>
        <w:rPr>
          <w:sz w:val="21"/>
        </w:rPr>
        <w:t>集体协商协议。</w:t>
      </w:r>
    </w:p>
    <w:p>
      <w:pPr>
        <w:pStyle w:val="ListParagraph"/>
        <w:numPr>
          <w:ilvl w:val="4"/>
          <w:numId w:val="53"/>
        </w:numPr>
        <w:tabs>
          <w:tab w:pos="1059" w:val="left" w:leader="none"/>
        </w:tabs>
        <w:spacing w:line="240" w:lineRule="auto" w:before="43" w:after="0"/>
        <w:ind w:left="1058" w:right="7497" w:hanging="1059"/>
        <w:jc w:val="right"/>
        <w:rPr>
          <w:sz w:val="21"/>
        </w:rPr>
      </w:pPr>
      <w:r>
        <w:rPr>
          <w:w w:val="95"/>
          <w:sz w:val="21"/>
        </w:rPr>
        <w:t>其他要求可包括</w:t>
      </w:r>
    </w:p>
    <w:p>
      <w:pPr>
        <w:pStyle w:val="ListParagraph"/>
        <w:numPr>
          <w:ilvl w:val="5"/>
          <w:numId w:val="53"/>
        </w:numPr>
        <w:tabs>
          <w:tab w:pos="360" w:val="left" w:leader="none"/>
        </w:tabs>
        <w:spacing w:line="240" w:lineRule="auto" w:before="43" w:after="0"/>
        <w:ind w:left="1478" w:right="7439" w:hanging="1479"/>
        <w:jc w:val="right"/>
        <w:rPr>
          <w:rFonts w:ascii="Times New Roman" w:eastAsia="Times New Roman"/>
          <w:sz w:val="21"/>
        </w:rPr>
      </w:pPr>
      <w:r>
        <w:rPr>
          <w:w w:val="95"/>
          <w:sz w:val="21"/>
        </w:rPr>
        <w:t>组织的要求</w:t>
      </w:r>
      <w:r>
        <w:rPr>
          <w:rFonts w:ascii="Times New Roman" w:eastAsia="Times New Roman"/>
          <w:w w:val="95"/>
          <w:sz w:val="21"/>
        </w:rPr>
        <w:t>;</w:t>
      </w:r>
    </w:p>
    <w:p>
      <w:pPr>
        <w:pStyle w:val="ListParagraph"/>
        <w:numPr>
          <w:ilvl w:val="5"/>
          <w:numId w:val="53"/>
        </w:numPr>
        <w:tabs>
          <w:tab w:pos="360" w:val="left" w:leader="none"/>
        </w:tabs>
        <w:spacing w:line="240" w:lineRule="auto" w:before="43" w:after="0"/>
        <w:ind w:left="1478" w:right="7497" w:hanging="1479"/>
        <w:jc w:val="right"/>
        <w:rPr>
          <w:sz w:val="21"/>
        </w:rPr>
      </w:pPr>
      <w:r>
        <w:rPr>
          <w:w w:val="95"/>
          <w:sz w:val="21"/>
        </w:rPr>
        <w:t>合同条款；</w:t>
      </w:r>
    </w:p>
    <w:p>
      <w:pPr>
        <w:pStyle w:val="ListParagraph"/>
        <w:numPr>
          <w:ilvl w:val="5"/>
          <w:numId w:val="53"/>
        </w:numPr>
        <w:tabs>
          <w:tab w:pos="360" w:val="left" w:leader="none"/>
        </w:tabs>
        <w:spacing w:line="240" w:lineRule="auto" w:before="43" w:after="0"/>
        <w:ind w:left="1478" w:right="7497" w:hanging="1479"/>
        <w:jc w:val="right"/>
        <w:rPr>
          <w:sz w:val="21"/>
        </w:rPr>
      </w:pPr>
      <w:r>
        <w:rPr>
          <w:w w:val="95"/>
          <w:sz w:val="21"/>
        </w:rPr>
        <w:t>雇佣协议；</w:t>
      </w:r>
    </w:p>
    <w:p>
      <w:pPr>
        <w:pStyle w:val="ListParagraph"/>
        <w:numPr>
          <w:ilvl w:val="5"/>
          <w:numId w:val="53"/>
        </w:numPr>
        <w:tabs>
          <w:tab w:pos="1479" w:val="left" w:leader="none"/>
        </w:tabs>
        <w:spacing w:line="240" w:lineRule="auto" w:before="43" w:after="0"/>
        <w:ind w:left="1478" w:right="0" w:hanging="361"/>
        <w:jc w:val="left"/>
        <w:rPr>
          <w:sz w:val="21"/>
        </w:rPr>
      </w:pPr>
      <w:r>
        <w:rPr>
          <w:sz w:val="21"/>
        </w:rPr>
        <w:t>与相关方的协议；</w:t>
      </w:r>
    </w:p>
    <w:p>
      <w:pPr>
        <w:pStyle w:val="ListParagraph"/>
        <w:numPr>
          <w:ilvl w:val="5"/>
          <w:numId w:val="53"/>
        </w:numPr>
        <w:tabs>
          <w:tab w:pos="1479" w:val="left" w:leader="none"/>
        </w:tabs>
        <w:spacing w:line="240" w:lineRule="auto" w:before="42" w:after="0"/>
        <w:ind w:left="1478" w:right="0" w:hanging="361"/>
        <w:jc w:val="left"/>
        <w:rPr>
          <w:sz w:val="21"/>
        </w:rPr>
      </w:pPr>
      <w:r>
        <w:rPr>
          <w:sz w:val="21"/>
        </w:rPr>
        <w:t>与卫生部门的协议；</w:t>
      </w:r>
    </w:p>
    <w:p>
      <w:pPr>
        <w:pStyle w:val="ListParagraph"/>
        <w:numPr>
          <w:ilvl w:val="5"/>
          <w:numId w:val="53"/>
        </w:numPr>
        <w:tabs>
          <w:tab w:pos="1479" w:val="left" w:leader="none"/>
        </w:tabs>
        <w:spacing w:line="240" w:lineRule="auto" w:before="43" w:after="0"/>
        <w:ind w:left="1478" w:right="0" w:hanging="361"/>
        <w:jc w:val="left"/>
        <w:rPr>
          <w:sz w:val="21"/>
        </w:rPr>
      </w:pPr>
      <w:r>
        <w:rPr>
          <w:sz w:val="21"/>
        </w:rPr>
        <w:t>非强制性标准、获得一致认可的标准和指南；</w:t>
      </w:r>
    </w:p>
    <w:p>
      <w:pPr>
        <w:pStyle w:val="ListParagraph"/>
        <w:numPr>
          <w:ilvl w:val="5"/>
          <w:numId w:val="53"/>
        </w:numPr>
        <w:tabs>
          <w:tab w:pos="1479" w:val="left" w:leader="none"/>
        </w:tabs>
        <w:spacing w:line="240" w:lineRule="auto" w:before="43" w:after="0"/>
        <w:ind w:left="1478" w:right="0" w:hanging="361"/>
        <w:jc w:val="left"/>
        <w:rPr>
          <w:sz w:val="21"/>
        </w:rPr>
      </w:pPr>
      <w:r>
        <w:rPr>
          <w:sz w:val="21"/>
        </w:rPr>
        <w:t>自愿性原则、行为守则、技术规范、章程；</w:t>
      </w:r>
    </w:p>
    <w:p>
      <w:pPr>
        <w:pStyle w:val="ListParagraph"/>
        <w:numPr>
          <w:ilvl w:val="5"/>
          <w:numId w:val="53"/>
        </w:numPr>
        <w:tabs>
          <w:tab w:pos="1479" w:val="left" w:leader="none"/>
        </w:tabs>
        <w:spacing w:line="240" w:lineRule="auto" w:before="43" w:after="0"/>
        <w:ind w:left="1478" w:right="0" w:hanging="361"/>
        <w:jc w:val="left"/>
        <w:rPr>
          <w:sz w:val="21"/>
        </w:rPr>
      </w:pPr>
      <w:r>
        <w:rPr>
          <w:sz w:val="21"/>
        </w:rPr>
        <w:t>本组织或其上级组织的公开承诺。</w:t>
      </w:r>
    </w:p>
    <w:p>
      <w:pPr>
        <w:pStyle w:val="ListParagraph"/>
        <w:numPr>
          <w:ilvl w:val="3"/>
          <w:numId w:val="53"/>
        </w:numPr>
        <w:tabs>
          <w:tab w:pos="1119" w:val="left" w:leader="none"/>
        </w:tabs>
        <w:spacing w:line="240" w:lineRule="auto" w:before="43" w:after="0"/>
        <w:ind w:left="1118" w:right="0" w:hanging="841"/>
        <w:jc w:val="left"/>
        <w:rPr>
          <w:rFonts w:ascii="黑体" w:eastAsia="黑体" w:hint="eastAsia"/>
          <w:sz w:val="21"/>
        </w:rPr>
      </w:pPr>
      <w:bookmarkStart w:name="A.6.1.4 措施的策划" w:id="207"/>
      <w:bookmarkEnd w:id="207"/>
      <w:r>
        <w:rPr/>
      </w:r>
      <w:bookmarkStart w:name="A.6.1.4 措施的策划" w:id="208"/>
      <w:bookmarkEnd w:id="208"/>
      <w:r>
        <w:rPr>
          <w:rFonts w:ascii="黑体" w:eastAsia="黑体" w:hint="eastAsia"/>
          <w:sz w:val="21"/>
        </w:rPr>
        <w:t>措施的策划</w:t>
      </w:r>
    </w:p>
    <w:p>
      <w:pPr>
        <w:pStyle w:val="BodyText"/>
        <w:spacing w:line="278" w:lineRule="auto"/>
        <w:ind w:left="278" w:right="403" w:firstLine="420"/>
      </w:pPr>
      <w:r>
        <w:rPr>
          <w:spacing w:val="-4"/>
          <w:w w:val="95"/>
        </w:rPr>
        <w:t>所策划的措施宜主要通过职业健康安全管理体系进行管理，并宜与其他业务过程</w:t>
      </w:r>
      <w:r>
        <w:rPr>
          <w:w w:val="95"/>
        </w:rPr>
        <w:t>（如为管理环境、   </w:t>
      </w:r>
      <w:r>
        <w:rPr/>
        <w:t>质量、业务连续性、风险、财务或人力资源而建立的过程）相融合。措施的实施旨在期待实现职业健康安全管理体系的预期结果。</w:t>
      </w:r>
    </w:p>
    <w:p>
      <w:pPr>
        <w:pStyle w:val="BodyText"/>
        <w:spacing w:line="278" w:lineRule="auto" w:before="0"/>
        <w:ind w:left="278" w:right="506" w:firstLine="420"/>
      </w:pPr>
      <w:r>
        <w:rPr>
          <w:w w:val="95"/>
        </w:rPr>
        <w:t>当职业健康安全风险和其他风险的评价已识别了控制需求时，策划活动则要确定如何在运行（见   </w:t>
      </w:r>
      <w:r>
        <w:rPr>
          <w:spacing w:val="-31"/>
        </w:rPr>
        <w:t>第 </w:t>
      </w:r>
      <w:r>
        <w:rPr>
          <w:rFonts w:ascii="Times New Roman" w:eastAsia="Times New Roman"/>
        </w:rPr>
        <w:t>8</w:t>
      </w:r>
      <w:r>
        <w:rPr>
          <w:rFonts w:ascii="Times New Roman" w:eastAsia="Times New Roman"/>
          <w:spacing w:val="-8"/>
        </w:rPr>
        <w:t> </w:t>
      </w:r>
      <w:r>
        <w:rPr/>
        <w:t>章）中实施这些控制，如确定是否将这些控制纳入作业指导书或纳入提升能力的措施中。其他控</w:t>
      </w:r>
    </w:p>
    <w:p>
      <w:pPr>
        <w:pStyle w:val="BodyText"/>
        <w:spacing w:line="269" w:lineRule="exact" w:before="0"/>
        <w:ind w:left="278"/>
      </w:pPr>
      <w:r>
        <w:rPr/>
        <w:t>制可采用测量或监视（见第 </w:t>
      </w:r>
      <w:r>
        <w:rPr>
          <w:rFonts w:ascii="Times New Roman" w:eastAsia="Times New Roman"/>
        </w:rPr>
        <w:t>9 </w:t>
      </w:r>
      <w:r>
        <w:rPr/>
        <w:t>章）方式。</w:t>
      </w:r>
    </w:p>
    <w:p>
      <w:pPr>
        <w:pStyle w:val="BodyText"/>
        <w:ind w:left="698"/>
      </w:pPr>
      <w:r>
        <w:rPr/>
        <w:t>变更管理（见 </w:t>
      </w:r>
      <w:r>
        <w:rPr>
          <w:rFonts w:ascii="Times New Roman" w:eastAsia="Times New Roman"/>
        </w:rPr>
        <w:t>8.1.3</w:t>
      </w:r>
      <w:r>
        <w:rPr/>
        <w:t>）也宜考虑应对风险和机遇的措施，以确保不产生非预期的后果。</w:t>
      </w:r>
    </w:p>
    <w:p>
      <w:pPr>
        <w:pStyle w:val="ListParagraph"/>
        <w:numPr>
          <w:ilvl w:val="2"/>
          <w:numId w:val="55"/>
        </w:numPr>
        <w:tabs>
          <w:tab w:pos="908" w:val="left" w:leader="none"/>
        </w:tabs>
        <w:spacing w:line="240" w:lineRule="auto" w:before="43" w:after="0"/>
        <w:ind w:left="907" w:right="0" w:hanging="630"/>
        <w:jc w:val="left"/>
        <w:rPr>
          <w:rFonts w:ascii="黑体" w:eastAsia="黑体" w:hint="eastAsia"/>
          <w:sz w:val="21"/>
        </w:rPr>
      </w:pPr>
      <w:bookmarkStart w:name="A.6.2 职业健康安全目标及其实现的策划" w:id="209"/>
      <w:bookmarkEnd w:id="209"/>
      <w:r>
        <w:rPr/>
      </w:r>
      <w:bookmarkStart w:name="A.6.2 职业健康安全目标及其实现的策划" w:id="210"/>
      <w:bookmarkEnd w:id="210"/>
      <w:r>
        <w:rPr>
          <w:rFonts w:ascii="黑体" w:eastAsia="黑体" w:hint="eastAsia"/>
          <w:sz w:val="21"/>
        </w:rPr>
        <w:t>职业健康安全目标及其实现的策划</w:t>
      </w:r>
    </w:p>
    <w:p>
      <w:pPr>
        <w:pStyle w:val="ListParagraph"/>
        <w:numPr>
          <w:ilvl w:val="3"/>
          <w:numId w:val="55"/>
        </w:numPr>
        <w:tabs>
          <w:tab w:pos="1119" w:val="left" w:leader="none"/>
        </w:tabs>
        <w:spacing w:line="240" w:lineRule="auto" w:before="43" w:after="0"/>
        <w:ind w:left="1118" w:right="0" w:hanging="841"/>
        <w:jc w:val="left"/>
        <w:rPr>
          <w:rFonts w:ascii="黑体" w:eastAsia="黑体" w:hint="eastAsia"/>
          <w:sz w:val="21"/>
        </w:rPr>
      </w:pPr>
      <w:bookmarkStart w:name="A.6.2.1 职业健康安全目标" w:id="211"/>
      <w:bookmarkEnd w:id="211"/>
      <w:r>
        <w:rPr/>
      </w:r>
      <w:bookmarkStart w:name="A.6.2.1 职业健康安全目标" w:id="212"/>
      <w:bookmarkEnd w:id="212"/>
      <w:r>
        <w:rPr>
          <w:rFonts w:ascii="黑体" w:eastAsia="黑体" w:hint="eastAsia"/>
          <w:sz w:val="21"/>
        </w:rPr>
        <w:t>职业健康安全目标</w:t>
      </w:r>
    </w:p>
    <w:p>
      <w:pPr>
        <w:pStyle w:val="BodyText"/>
        <w:spacing w:line="278" w:lineRule="auto"/>
        <w:ind w:left="278" w:right="506" w:firstLine="420"/>
      </w:pPr>
      <w:r>
        <w:rPr>
          <w:w w:val="95"/>
        </w:rPr>
        <w:t>制定目标是为了保持和改进职业健康安全绩效。目标宜与风险和机遇以及组织所识别的、实现职   </w:t>
      </w:r>
      <w:r>
        <w:rPr/>
        <w:t>业健康安全管理体系预期结果所必需的绩效准则相关。</w:t>
      </w:r>
    </w:p>
    <w:p>
      <w:pPr>
        <w:pStyle w:val="BodyText"/>
        <w:spacing w:line="278" w:lineRule="auto" w:before="0"/>
        <w:ind w:left="278" w:right="403" w:firstLine="420"/>
      </w:pPr>
      <w:r>
        <w:rPr>
          <w:spacing w:val="-5"/>
          <w:w w:val="95"/>
        </w:rPr>
        <w:t>职业健康安全目标可与其他业务目标相融合，并宜在相关职能和层次设立。目标可以是战略性的、   </w:t>
      </w:r>
      <w:r>
        <w:rPr>
          <w:spacing w:val="-5"/>
        </w:rPr>
        <w:t>战术性的或运行层面的：</w:t>
      </w:r>
    </w:p>
    <w:p>
      <w:pPr>
        <w:pStyle w:val="ListParagraph"/>
        <w:numPr>
          <w:ilvl w:val="4"/>
          <w:numId w:val="55"/>
        </w:numPr>
        <w:tabs>
          <w:tab w:pos="1059" w:val="left" w:leader="none"/>
        </w:tabs>
        <w:spacing w:line="269" w:lineRule="exact" w:before="0" w:after="0"/>
        <w:ind w:left="1058" w:right="0" w:hanging="361"/>
        <w:jc w:val="left"/>
        <w:rPr>
          <w:sz w:val="21"/>
        </w:rPr>
      </w:pPr>
      <w:r>
        <w:rPr>
          <w:sz w:val="21"/>
        </w:rPr>
        <w:t>战略性目标可被设立为改进职业健康安全管理体系整体绩效（如消除噪声暴露）；</w:t>
      </w:r>
    </w:p>
    <w:p>
      <w:pPr>
        <w:pStyle w:val="ListParagraph"/>
        <w:numPr>
          <w:ilvl w:val="4"/>
          <w:numId w:val="55"/>
        </w:numPr>
        <w:tabs>
          <w:tab w:pos="1059" w:val="left" w:leader="none"/>
        </w:tabs>
        <w:spacing w:line="240" w:lineRule="auto" w:before="42" w:after="0"/>
        <w:ind w:left="1058" w:right="0" w:hanging="361"/>
        <w:jc w:val="left"/>
        <w:rPr>
          <w:sz w:val="21"/>
        </w:rPr>
      </w:pPr>
      <w:r>
        <w:rPr>
          <w:w w:val="95"/>
          <w:sz w:val="21"/>
        </w:rPr>
        <w:t>战术性目标可被设立在设施、项目或过程层面（如从源头降低噪声）；</w:t>
      </w:r>
    </w:p>
    <w:p>
      <w:pPr>
        <w:pStyle w:val="ListParagraph"/>
        <w:numPr>
          <w:ilvl w:val="4"/>
          <w:numId w:val="55"/>
        </w:numPr>
        <w:tabs>
          <w:tab w:pos="1059" w:val="left" w:leader="none"/>
        </w:tabs>
        <w:spacing w:line="240" w:lineRule="auto" w:before="43" w:after="0"/>
        <w:ind w:left="1058" w:right="0" w:hanging="361"/>
        <w:jc w:val="left"/>
        <w:rPr>
          <w:sz w:val="21"/>
        </w:rPr>
      </w:pPr>
      <w:r>
        <w:rPr>
          <w:w w:val="95"/>
          <w:sz w:val="21"/>
        </w:rPr>
        <w:t>运行层面的目标可被设立在活动层面（如围挡单台机器以降低噪声）。</w:t>
      </w:r>
    </w:p>
    <w:p>
      <w:pPr>
        <w:pStyle w:val="BodyText"/>
        <w:spacing w:line="278" w:lineRule="auto"/>
        <w:ind w:left="278" w:right="403" w:firstLine="420"/>
      </w:pPr>
      <w:r>
        <w:rPr>
          <w:spacing w:val="-5"/>
          <w:w w:val="95"/>
        </w:rPr>
        <w:t>职业健康安全目标的测量可以是定性的或定量的。定性测量可以是粗略的估计，例如那些从调查、   </w:t>
      </w:r>
      <w:r>
        <w:rPr>
          <w:spacing w:val="-5"/>
        </w:rPr>
        <w:t>访谈和观察中所获得的结果。组织不必为其所确定的每个风险和机遇均设立职业健康安全目标。</w:t>
      </w:r>
    </w:p>
    <w:p>
      <w:pPr>
        <w:pStyle w:val="ListParagraph"/>
        <w:numPr>
          <w:ilvl w:val="3"/>
          <w:numId w:val="55"/>
        </w:numPr>
        <w:tabs>
          <w:tab w:pos="1119" w:val="left" w:leader="none"/>
        </w:tabs>
        <w:spacing w:line="269" w:lineRule="exact" w:before="0" w:after="0"/>
        <w:ind w:left="1118" w:right="0" w:hanging="841"/>
        <w:jc w:val="left"/>
        <w:rPr>
          <w:rFonts w:ascii="黑体" w:eastAsia="黑体" w:hint="eastAsia"/>
          <w:sz w:val="21"/>
        </w:rPr>
      </w:pPr>
      <w:bookmarkStart w:name="A.6.2.2 实现职业健康安全目标的策划" w:id="213"/>
      <w:bookmarkEnd w:id="213"/>
      <w:r>
        <w:rPr/>
      </w:r>
      <w:bookmarkStart w:name="A.6.2.2 实现职业健康安全目标的策划" w:id="214"/>
      <w:bookmarkEnd w:id="214"/>
      <w:r>
        <w:rPr>
          <w:rFonts w:ascii="黑体" w:eastAsia="黑体" w:hint="eastAsia"/>
          <w:sz w:val="21"/>
        </w:rPr>
        <w:t>实现职业健康安全目标的策划</w:t>
      </w:r>
    </w:p>
    <w:p>
      <w:pPr>
        <w:pStyle w:val="BodyText"/>
        <w:spacing w:line="278" w:lineRule="auto"/>
        <w:ind w:left="698" w:right="1769"/>
      </w:pPr>
      <w:r>
        <w:rPr>
          <w:w w:val="95"/>
        </w:rPr>
        <w:t>组织可为实现目标进行单独策划或整体策划。必要时，可针对多重目标进行策划。  </w:t>
      </w:r>
      <w:r>
        <w:rPr/>
        <w:t>组织宜审查实现其目标所需的资源（如财务、人员、设备、基础设施</w:t>
      </w:r>
      <w:r>
        <w:rPr>
          <w:spacing w:val="-104"/>
        </w:rPr>
        <w:t>）</w:t>
      </w:r>
      <w:r>
        <w:rPr/>
        <w:t>。</w:t>
      </w:r>
    </w:p>
    <w:p>
      <w:pPr>
        <w:pStyle w:val="BodyText"/>
        <w:spacing w:line="269" w:lineRule="exact" w:before="0"/>
        <w:ind w:left="698"/>
      </w:pPr>
      <w:r>
        <w:rPr/>
        <w:t>可行时，每个目标宜对应一个指标，指标可以是战略性的、战术性的或运行层面的。</w:t>
      </w:r>
    </w:p>
    <w:p>
      <w:pPr>
        <w:pStyle w:val="BodyText"/>
        <w:spacing w:before="7"/>
        <w:rPr>
          <w:sz w:val="15"/>
        </w:rPr>
      </w:pPr>
    </w:p>
    <w:p>
      <w:pPr>
        <w:pStyle w:val="ListParagraph"/>
        <w:numPr>
          <w:ilvl w:val="1"/>
          <w:numId w:val="49"/>
        </w:numPr>
        <w:tabs>
          <w:tab w:pos="699" w:val="left" w:leader="none"/>
        </w:tabs>
        <w:spacing w:line="240" w:lineRule="auto" w:before="0" w:after="0"/>
        <w:ind w:left="698" w:right="0" w:hanging="421"/>
        <w:jc w:val="left"/>
        <w:rPr>
          <w:rFonts w:ascii="黑体" w:eastAsia="黑体" w:hint="eastAsia"/>
          <w:sz w:val="21"/>
        </w:rPr>
      </w:pPr>
      <w:bookmarkStart w:name="A.7 支持" w:id="215"/>
      <w:bookmarkEnd w:id="215"/>
      <w:r>
        <w:rPr/>
      </w:r>
      <w:bookmarkStart w:name="A.7 支持" w:id="216"/>
      <w:bookmarkEnd w:id="216"/>
      <w:r>
        <w:rPr>
          <w:rFonts w:ascii="黑体" w:eastAsia="黑体" w:hint="eastAsia"/>
          <w:sz w:val="21"/>
        </w:rPr>
        <w:t>支持</w:t>
      </w:r>
    </w:p>
    <w:p>
      <w:pPr>
        <w:pStyle w:val="BodyText"/>
        <w:spacing w:before="6"/>
        <w:rPr>
          <w:rFonts w:ascii="黑体"/>
          <w:sz w:val="15"/>
        </w:rPr>
      </w:pPr>
    </w:p>
    <w:p>
      <w:pPr>
        <w:pStyle w:val="ListParagraph"/>
        <w:numPr>
          <w:ilvl w:val="2"/>
          <w:numId w:val="56"/>
        </w:numPr>
        <w:tabs>
          <w:tab w:pos="908" w:val="left" w:leader="none"/>
        </w:tabs>
        <w:spacing w:line="240" w:lineRule="auto" w:before="1" w:after="0"/>
        <w:ind w:left="907" w:right="0" w:hanging="630"/>
        <w:jc w:val="left"/>
        <w:rPr>
          <w:rFonts w:ascii="黑体" w:eastAsia="黑体" w:hint="eastAsia"/>
          <w:sz w:val="21"/>
        </w:rPr>
      </w:pPr>
      <w:bookmarkStart w:name="A.7.1 资源" w:id="217"/>
      <w:bookmarkEnd w:id="217"/>
      <w:r>
        <w:rPr/>
      </w:r>
      <w:bookmarkStart w:name="A.7.1 资源" w:id="218"/>
      <w:bookmarkEnd w:id="218"/>
      <w:r>
        <w:rPr>
          <w:rFonts w:ascii="黑体" w:eastAsia="黑体" w:hint="eastAsia"/>
          <w:sz w:val="21"/>
        </w:rPr>
        <w:t>资源</w:t>
      </w:r>
    </w:p>
    <w:p>
      <w:pPr>
        <w:pStyle w:val="BodyText"/>
        <w:ind w:left="698"/>
      </w:pPr>
      <w:r>
        <w:rPr/>
        <w:t>资源的示例包括人力资源、自然资源、基础设施、技术和财务资源。</w:t>
      </w:r>
    </w:p>
    <w:p>
      <w:pPr>
        <w:spacing w:after="0"/>
        <w:sectPr>
          <w:pgSz w:w="11910" w:h="16840"/>
          <w:pgMar w:header="1442" w:footer="850" w:top="1660" w:bottom="1040" w:left="1140" w:right="740"/>
        </w:sectPr>
      </w:pPr>
    </w:p>
    <w:p>
      <w:pPr>
        <w:pStyle w:val="BodyText"/>
        <w:spacing w:before="157"/>
        <w:ind w:left="698"/>
      </w:pPr>
      <w:r>
        <w:rPr/>
        <w:t>基础设施的示例包括组织的建筑物、厂房、设备、公用设施、信息技术与通信系统、应急处置系</w:t>
      </w:r>
    </w:p>
    <w:p>
      <w:pPr>
        <w:pStyle w:val="BodyText"/>
        <w:ind w:left="278"/>
      </w:pPr>
      <w:r>
        <w:rPr/>
        <w:t>统。</w:t>
      </w:r>
    </w:p>
    <w:p>
      <w:pPr>
        <w:pStyle w:val="ListParagraph"/>
        <w:numPr>
          <w:ilvl w:val="2"/>
          <w:numId w:val="56"/>
        </w:numPr>
        <w:tabs>
          <w:tab w:pos="908" w:val="left" w:leader="none"/>
        </w:tabs>
        <w:spacing w:line="240" w:lineRule="auto" w:before="43" w:after="0"/>
        <w:ind w:left="907" w:right="0" w:hanging="630"/>
        <w:jc w:val="left"/>
        <w:rPr>
          <w:rFonts w:ascii="黑体" w:eastAsia="黑体" w:hint="eastAsia"/>
          <w:sz w:val="21"/>
        </w:rPr>
      </w:pPr>
      <w:bookmarkStart w:name="A.7.2 能力" w:id="219"/>
      <w:bookmarkEnd w:id="219"/>
      <w:r>
        <w:rPr/>
      </w:r>
      <w:bookmarkStart w:name="A.7.2 能力" w:id="220"/>
      <w:bookmarkEnd w:id="220"/>
      <w:r>
        <w:rPr>
          <w:rFonts w:ascii="黑体" w:eastAsia="黑体" w:hint="eastAsia"/>
          <w:sz w:val="21"/>
        </w:rPr>
        <w:t>能力</w:t>
      </w:r>
    </w:p>
    <w:p>
      <w:pPr>
        <w:pStyle w:val="BodyText"/>
        <w:spacing w:line="278" w:lineRule="auto"/>
        <w:ind w:left="278" w:right="506" w:firstLine="420"/>
      </w:pPr>
      <w:r>
        <w:rPr>
          <w:w w:val="95"/>
        </w:rPr>
        <w:t>工作人员的能力宜包括对与其工作和工作场所有关的危险源和职业健康安全风险进行恰当辨识和   </w:t>
      </w:r>
      <w:r>
        <w:rPr/>
        <w:t>处置所需的知识和技能。</w:t>
      </w:r>
    </w:p>
    <w:p>
      <w:pPr>
        <w:pStyle w:val="BodyText"/>
        <w:spacing w:line="269" w:lineRule="exact" w:before="0"/>
        <w:ind w:left="698"/>
      </w:pPr>
      <w:r>
        <w:rPr/>
        <w:t>在确定每个角色的能力时，组织宜考虑如下内容：</w:t>
      </w:r>
    </w:p>
    <w:p>
      <w:pPr>
        <w:pStyle w:val="ListParagraph"/>
        <w:numPr>
          <w:ilvl w:val="3"/>
          <w:numId w:val="56"/>
        </w:numPr>
        <w:tabs>
          <w:tab w:pos="1059" w:val="left" w:leader="none"/>
        </w:tabs>
        <w:spacing w:line="240" w:lineRule="auto" w:before="43" w:after="0"/>
        <w:ind w:left="1058" w:right="0" w:hanging="361"/>
        <w:jc w:val="left"/>
        <w:rPr>
          <w:sz w:val="21"/>
        </w:rPr>
      </w:pPr>
      <w:r>
        <w:rPr>
          <w:sz w:val="21"/>
        </w:rPr>
        <w:t>承担该角色所必需的教育、培训、资格和经验，以及保持能力所必需的再培训；</w:t>
      </w:r>
    </w:p>
    <w:p>
      <w:pPr>
        <w:pStyle w:val="ListParagraph"/>
        <w:numPr>
          <w:ilvl w:val="3"/>
          <w:numId w:val="56"/>
        </w:numPr>
        <w:tabs>
          <w:tab w:pos="1059" w:val="left" w:leader="none"/>
        </w:tabs>
        <w:spacing w:line="240" w:lineRule="auto" w:before="43" w:after="0"/>
        <w:ind w:left="1058" w:right="0" w:hanging="361"/>
        <w:jc w:val="left"/>
        <w:rPr>
          <w:sz w:val="21"/>
        </w:rPr>
      </w:pPr>
      <w:r>
        <w:rPr>
          <w:sz w:val="21"/>
        </w:rPr>
        <w:t>工作环境；</w:t>
      </w:r>
    </w:p>
    <w:p>
      <w:pPr>
        <w:pStyle w:val="ListParagraph"/>
        <w:numPr>
          <w:ilvl w:val="3"/>
          <w:numId w:val="56"/>
        </w:numPr>
        <w:tabs>
          <w:tab w:pos="1059" w:val="left" w:leader="none"/>
        </w:tabs>
        <w:spacing w:line="240" w:lineRule="auto" w:before="43" w:after="0"/>
        <w:ind w:left="1058" w:right="0" w:hanging="361"/>
        <w:jc w:val="left"/>
        <w:rPr>
          <w:sz w:val="21"/>
        </w:rPr>
      </w:pPr>
      <w:r>
        <w:rPr>
          <w:sz w:val="21"/>
        </w:rPr>
        <w:t>产自风险评价过程的预防措施和控制措施；</w:t>
      </w:r>
    </w:p>
    <w:p>
      <w:pPr>
        <w:pStyle w:val="ListParagraph"/>
        <w:numPr>
          <w:ilvl w:val="3"/>
          <w:numId w:val="56"/>
        </w:numPr>
        <w:tabs>
          <w:tab w:pos="1059" w:val="left" w:leader="none"/>
        </w:tabs>
        <w:spacing w:line="240" w:lineRule="auto" w:before="43" w:after="0"/>
        <w:ind w:left="1058" w:right="0" w:hanging="361"/>
        <w:jc w:val="left"/>
        <w:rPr>
          <w:sz w:val="21"/>
        </w:rPr>
      </w:pPr>
      <w:r>
        <w:rPr>
          <w:sz w:val="21"/>
        </w:rPr>
        <w:t>适用于职业健康安全管理体系的要求；</w:t>
      </w:r>
    </w:p>
    <w:p>
      <w:pPr>
        <w:pStyle w:val="ListParagraph"/>
        <w:numPr>
          <w:ilvl w:val="3"/>
          <w:numId w:val="56"/>
        </w:numPr>
        <w:tabs>
          <w:tab w:pos="1059" w:val="left" w:leader="none"/>
        </w:tabs>
        <w:spacing w:line="240" w:lineRule="auto" w:before="43" w:after="0"/>
        <w:ind w:left="1058" w:right="0" w:hanging="361"/>
        <w:jc w:val="left"/>
        <w:rPr>
          <w:sz w:val="21"/>
        </w:rPr>
      </w:pPr>
      <w:r>
        <w:rPr>
          <w:sz w:val="21"/>
        </w:rPr>
        <w:t>法律法规要求和其他要求；</w:t>
      </w:r>
    </w:p>
    <w:p>
      <w:pPr>
        <w:pStyle w:val="ListParagraph"/>
        <w:numPr>
          <w:ilvl w:val="3"/>
          <w:numId w:val="56"/>
        </w:numPr>
        <w:tabs>
          <w:tab w:pos="1059" w:val="left" w:leader="none"/>
        </w:tabs>
        <w:spacing w:line="240" w:lineRule="auto" w:before="43" w:after="0"/>
        <w:ind w:left="1058" w:right="0" w:hanging="361"/>
        <w:jc w:val="left"/>
        <w:rPr>
          <w:sz w:val="21"/>
        </w:rPr>
      </w:pPr>
      <w:r>
        <w:rPr>
          <w:sz w:val="21"/>
        </w:rPr>
        <w:t>职业健康安全方针；</w:t>
      </w:r>
    </w:p>
    <w:p>
      <w:pPr>
        <w:pStyle w:val="ListParagraph"/>
        <w:numPr>
          <w:ilvl w:val="3"/>
          <w:numId w:val="56"/>
        </w:numPr>
        <w:tabs>
          <w:tab w:pos="1059" w:val="left" w:leader="none"/>
        </w:tabs>
        <w:spacing w:line="240" w:lineRule="auto" w:before="43" w:after="0"/>
        <w:ind w:left="1058" w:right="0" w:hanging="361"/>
        <w:jc w:val="left"/>
        <w:rPr>
          <w:sz w:val="21"/>
        </w:rPr>
      </w:pPr>
      <w:r>
        <w:rPr>
          <w:sz w:val="21"/>
        </w:rPr>
        <w:t>合规和不合规的潜在后果，包括对工作人员的健康和安全的影响；</w:t>
      </w:r>
    </w:p>
    <w:p>
      <w:pPr>
        <w:pStyle w:val="ListParagraph"/>
        <w:numPr>
          <w:ilvl w:val="3"/>
          <w:numId w:val="56"/>
        </w:numPr>
        <w:tabs>
          <w:tab w:pos="1059" w:val="left" w:leader="none"/>
        </w:tabs>
        <w:spacing w:line="240" w:lineRule="auto" w:before="43" w:after="0"/>
        <w:ind w:left="1058" w:right="0" w:hanging="361"/>
        <w:jc w:val="left"/>
        <w:rPr>
          <w:sz w:val="21"/>
        </w:rPr>
      </w:pPr>
      <w:r>
        <w:rPr>
          <w:sz w:val="21"/>
        </w:rPr>
        <w:t>工作人员基于其知识和技能参与职业健康安全管理体系的价值；</w:t>
      </w:r>
    </w:p>
    <w:p>
      <w:pPr>
        <w:pStyle w:val="ListParagraph"/>
        <w:numPr>
          <w:ilvl w:val="3"/>
          <w:numId w:val="56"/>
        </w:numPr>
        <w:tabs>
          <w:tab w:pos="1059" w:val="left" w:leader="none"/>
        </w:tabs>
        <w:spacing w:line="240" w:lineRule="auto" w:before="43" w:after="0"/>
        <w:ind w:left="1058" w:right="0" w:hanging="361"/>
        <w:jc w:val="left"/>
        <w:rPr>
          <w:sz w:val="21"/>
        </w:rPr>
      </w:pPr>
      <w:r>
        <w:rPr>
          <w:sz w:val="21"/>
        </w:rPr>
        <w:t>与其角色相关的义务和职责；</w:t>
      </w:r>
    </w:p>
    <w:p>
      <w:pPr>
        <w:pStyle w:val="ListParagraph"/>
        <w:numPr>
          <w:ilvl w:val="3"/>
          <w:numId w:val="56"/>
        </w:numPr>
        <w:tabs>
          <w:tab w:pos="1059" w:val="left" w:leader="none"/>
        </w:tabs>
        <w:spacing w:line="240" w:lineRule="auto" w:before="43" w:after="0"/>
        <w:ind w:left="1058" w:right="0" w:hanging="361"/>
        <w:jc w:val="left"/>
        <w:rPr>
          <w:sz w:val="21"/>
        </w:rPr>
      </w:pPr>
      <w:r>
        <w:rPr>
          <w:sz w:val="21"/>
        </w:rPr>
        <w:t>个人能力，包括经验、语言技能、读写能力和差异性；</w:t>
      </w:r>
    </w:p>
    <w:p>
      <w:pPr>
        <w:pStyle w:val="ListParagraph"/>
        <w:numPr>
          <w:ilvl w:val="3"/>
          <w:numId w:val="56"/>
        </w:numPr>
        <w:tabs>
          <w:tab w:pos="1059" w:val="left" w:leader="none"/>
        </w:tabs>
        <w:spacing w:line="278" w:lineRule="auto" w:before="42" w:after="0"/>
        <w:ind w:left="698" w:right="4348" w:firstLine="0"/>
        <w:jc w:val="left"/>
        <w:rPr>
          <w:sz w:val="21"/>
        </w:rPr>
      </w:pPr>
      <w:r>
        <w:rPr>
          <w:w w:val="95"/>
          <w:sz w:val="21"/>
        </w:rPr>
        <w:t>因所处环境或工作变化而必需的相应能力的更新。 </w:t>
      </w:r>
      <w:r>
        <w:rPr>
          <w:sz w:val="21"/>
        </w:rPr>
        <w:t>工作人员可协助组织确定角色所需的能力。</w:t>
      </w:r>
    </w:p>
    <w:p>
      <w:pPr>
        <w:pStyle w:val="BodyText"/>
        <w:spacing w:line="278" w:lineRule="auto" w:before="0"/>
        <w:ind w:left="278" w:right="506" w:firstLine="420"/>
      </w:pPr>
      <w:r>
        <w:rPr>
          <w:w w:val="95"/>
        </w:rPr>
        <w:t>工作人员宜具备使自己摆脱紧迫和严重危险状况的必要能力。为此，为工作人员提供充分的、与   </w:t>
      </w:r>
      <w:r>
        <w:rPr/>
        <w:t>其工作有关的危险源和风险方面的培训非常重要。</w:t>
      </w:r>
    </w:p>
    <w:p>
      <w:pPr>
        <w:pStyle w:val="BodyText"/>
        <w:spacing w:line="278" w:lineRule="auto" w:before="0"/>
        <w:ind w:left="698" w:right="508"/>
      </w:pPr>
      <w:r>
        <w:rPr>
          <w:w w:val="95"/>
        </w:rPr>
        <w:t>适当时，工作人员宜接受所需的培训，以使其能够有效地履行其职业健康安全方面的典型职责。   </w:t>
      </w:r>
      <w:r>
        <w:rPr/>
        <w:t>在许多国家，向工作人员无偿提供培训是法律法规要求。</w:t>
      </w:r>
    </w:p>
    <w:p>
      <w:pPr>
        <w:pStyle w:val="ListParagraph"/>
        <w:numPr>
          <w:ilvl w:val="2"/>
          <w:numId w:val="56"/>
        </w:numPr>
        <w:tabs>
          <w:tab w:pos="908" w:val="left" w:leader="none"/>
        </w:tabs>
        <w:spacing w:line="269" w:lineRule="exact" w:before="0" w:after="0"/>
        <w:ind w:left="907" w:right="0" w:hanging="630"/>
        <w:jc w:val="left"/>
        <w:rPr>
          <w:rFonts w:ascii="黑体" w:eastAsia="黑体" w:hint="eastAsia"/>
          <w:sz w:val="21"/>
        </w:rPr>
      </w:pPr>
      <w:bookmarkStart w:name="A.7.3 意识" w:id="221"/>
      <w:bookmarkEnd w:id="221"/>
      <w:r>
        <w:rPr/>
      </w:r>
      <w:bookmarkStart w:name="A.7.3 意识" w:id="222"/>
      <w:bookmarkEnd w:id="222"/>
      <w:r>
        <w:rPr>
          <w:rFonts w:ascii="黑体" w:eastAsia="黑体" w:hint="eastAsia"/>
          <w:sz w:val="21"/>
        </w:rPr>
        <w:t>意识</w:t>
      </w:r>
    </w:p>
    <w:p>
      <w:pPr>
        <w:pStyle w:val="BodyText"/>
        <w:spacing w:line="278" w:lineRule="auto"/>
        <w:ind w:left="278" w:right="506" w:firstLine="420"/>
      </w:pPr>
      <w:r>
        <w:rPr>
          <w:w w:val="95"/>
        </w:rPr>
        <w:t>除工作人员（特别是临时工作人员）外，承包方、访问者和任何其他相关方也宜意识到其所面临   </w:t>
      </w:r>
      <w:r>
        <w:rPr/>
        <w:t>的职业健康安全风险。</w:t>
      </w:r>
    </w:p>
    <w:p>
      <w:pPr>
        <w:pStyle w:val="ListParagraph"/>
        <w:numPr>
          <w:ilvl w:val="2"/>
          <w:numId w:val="56"/>
        </w:numPr>
        <w:tabs>
          <w:tab w:pos="908" w:val="left" w:leader="none"/>
        </w:tabs>
        <w:spacing w:line="269" w:lineRule="exact" w:before="0" w:after="0"/>
        <w:ind w:left="907" w:right="0" w:hanging="630"/>
        <w:jc w:val="left"/>
        <w:rPr>
          <w:rFonts w:ascii="黑体" w:eastAsia="黑体" w:hint="eastAsia"/>
          <w:sz w:val="21"/>
        </w:rPr>
      </w:pPr>
      <w:bookmarkStart w:name="A.7.4 沟通" w:id="223"/>
      <w:bookmarkEnd w:id="223"/>
      <w:r>
        <w:rPr/>
      </w:r>
      <w:bookmarkStart w:name="A.7.4 沟通" w:id="224"/>
      <w:bookmarkEnd w:id="224"/>
      <w:r>
        <w:rPr>
          <w:rFonts w:ascii="黑体" w:eastAsia="黑体" w:hint="eastAsia"/>
          <w:sz w:val="21"/>
        </w:rPr>
        <w:t>沟通</w:t>
      </w:r>
    </w:p>
    <w:p>
      <w:pPr>
        <w:pStyle w:val="BodyText"/>
        <w:spacing w:line="278" w:lineRule="auto"/>
        <w:ind w:left="278" w:right="506" w:firstLine="420"/>
      </w:pPr>
      <w:r>
        <w:rPr>
          <w:w w:val="95"/>
        </w:rPr>
        <w:t>组织所建立的沟通过程宜规定信息的收集、更新和传播。该过程宜确保向所有有关的工作人员和   </w:t>
      </w:r>
      <w:r>
        <w:rPr/>
        <w:t>相关方提供相关信息，并确保他们能接收到和易于理解这些信息。</w:t>
      </w:r>
    </w:p>
    <w:p>
      <w:pPr>
        <w:pStyle w:val="ListParagraph"/>
        <w:numPr>
          <w:ilvl w:val="2"/>
          <w:numId w:val="56"/>
        </w:numPr>
        <w:tabs>
          <w:tab w:pos="908" w:val="left" w:leader="none"/>
        </w:tabs>
        <w:spacing w:line="269" w:lineRule="exact" w:before="0" w:after="0"/>
        <w:ind w:left="907" w:right="0" w:hanging="630"/>
        <w:jc w:val="left"/>
        <w:rPr>
          <w:rFonts w:ascii="黑体" w:eastAsia="黑体" w:hint="eastAsia"/>
          <w:sz w:val="21"/>
        </w:rPr>
      </w:pPr>
      <w:bookmarkStart w:name="A.7.5 文件化信息" w:id="225"/>
      <w:bookmarkEnd w:id="225"/>
      <w:r>
        <w:rPr/>
      </w:r>
      <w:bookmarkStart w:name="A.7.5 文件化信息" w:id="226"/>
      <w:bookmarkEnd w:id="226"/>
      <w:r>
        <w:rPr>
          <w:rFonts w:ascii="黑体" w:eastAsia="黑体" w:hint="eastAsia"/>
          <w:sz w:val="21"/>
        </w:rPr>
        <w:t>文件化信息</w:t>
      </w:r>
    </w:p>
    <w:p>
      <w:pPr>
        <w:pStyle w:val="BodyText"/>
        <w:ind w:left="698"/>
      </w:pPr>
      <w:r>
        <w:rPr/>
        <w:t>重要的是，对于文件化信息，在尽可能降低其复杂性的同时确保有效、高效和简洁。</w:t>
      </w:r>
    </w:p>
    <w:p>
      <w:pPr>
        <w:pStyle w:val="BodyText"/>
        <w:ind w:left="698"/>
      </w:pPr>
      <w:r>
        <w:rPr/>
        <w:t>这宜包括关于满足法律法规要求和其他要求的策划，以及评价这些策划措施有效性的文件化信息。</w:t>
      </w:r>
    </w:p>
    <w:p>
      <w:pPr>
        <w:pStyle w:val="BodyText"/>
        <w:spacing w:line="278" w:lineRule="auto"/>
        <w:ind w:left="698" w:right="3607"/>
      </w:pPr>
      <w:r>
        <w:rPr>
          <w:rFonts w:ascii="Times New Roman" w:eastAsia="Times New Roman"/>
        </w:rPr>
        <w:t>7.5.3 </w:t>
      </w:r>
      <w:r>
        <w:rPr/>
        <w:t>所述的措施特用于防止作废的文件化信息被非预期使用。保密信息的示例包括个人信息和医疗信息等。</w:t>
      </w:r>
    </w:p>
    <w:p>
      <w:pPr>
        <w:pStyle w:val="ListParagraph"/>
        <w:numPr>
          <w:ilvl w:val="1"/>
          <w:numId w:val="49"/>
        </w:numPr>
        <w:tabs>
          <w:tab w:pos="699" w:val="left" w:leader="none"/>
        </w:tabs>
        <w:spacing w:line="240" w:lineRule="auto" w:before="155" w:after="0"/>
        <w:ind w:left="698" w:right="0" w:hanging="421"/>
        <w:jc w:val="left"/>
        <w:rPr>
          <w:rFonts w:ascii="黑体" w:eastAsia="黑体" w:hint="eastAsia"/>
          <w:sz w:val="21"/>
        </w:rPr>
      </w:pPr>
      <w:bookmarkStart w:name="A.8 运行" w:id="227"/>
      <w:bookmarkEnd w:id="227"/>
      <w:r>
        <w:rPr/>
      </w:r>
      <w:bookmarkStart w:name="A.8 运行" w:id="228"/>
      <w:bookmarkEnd w:id="228"/>
      <w:r>
        <w:rPr>
          <w:rFonts w:ascii="黑体" w:eastAsia="黑体" w:hint="eastAsia"/>
          <w:sz w:val="21"/>
        </w:rPr>
        <w:t>运行</w:t>
      </w:r>
    </w:p>
    <w:p>
      <w:pPr>
        <w:pStyle w:val="BodyText"/>
        <w:spacing w:before="7"/>
        <w:rPr>
          <w:rFonts w:ascii="黑体"/>
          <w:sz w:val="15"/>
        </w:rPr>
      </w:pPr>
    </w:p>
    <w:p>
      <w:pPr>
        <w:pStyle w:val="ListParagraph"/>
        <w:numPr>
          <w:ilvl w:val="2"/>
          <w:numId w:val="57"/>
        </w:numPr>
        <w:tabs>
          <w:tab w:pos="908" w:val="left" w:leader="none"/>
        </w:tabs>
        <w:spacing w:line="240" w:lineRule="auto" w:before="0" w:after="0"/>
        <w:ind w:left="907" w:right="0" w:hanging="630"/>
        <w:jc w:val="left"/>
        <w:rPr>
          <w:rFonts w:ascii="黑体" w:eastAsia="黑体" w:hint="eastAsia"/>
          <w:sz w:val="21"/>
        </w:rPr>
      </w:pPr>
      <w:bookmarkStart w:name="A.8.1 运行策划和控制" w:id="229"/>
      <w:bookmarkEnd w:id="229"/>
      <w:r>
        <w:rPr/>
      </w:r>
      <w:bookmarkStart w:name="A.8.1 运行策划和控制" w:id="230"/>
      <w:bookmarkEnd w:id="230"/>
      <w:r>
        <w:rPr>
          <w:rFonts w:ascii="黑体" w:eastAsia="黑体" w:hint="eastAsia"/>
          <w:sz w:val="21"/>
        </w:rPr>
        <w:t>运行策划和控制</w:t>
      </w:r>
    </w:p>
    <w:p>
      <w:pPr>
        <w:pStyle w:val="ListParagraph"/>
        <w:numPr>
          <w:ilvl w:val="3"/>
          <w:numId w:val="57"/>
        </w:numPr>
        <w:tabs>
          <w:tab w:pos="1119" w:val="left" w:leader="none"/>
        </w:tabs>
        <w:spacing w:line="240" w:lineRule="auto" w:before="43" w:after="0"/>
        <w:ind w:left="1118" w:right="0" w:hanging="841"/>
        <w:jc w:val="left"/>
        <w:rPr>
          <w:rFonts w:ascii="黑体" w:eastAsia="黑体" w:hint="eastAsia"/>
          <w:sz w:val="21"/>
        </w:rPr>
      </w:pPr>
      <w:bookmarkStart w:name="A.8.1.1 总则" w:id="231"/>
      <w:bookmarkEnd w:id="231"/>
      <w:r>
        <w:rPr/>
      </w:r>
      <w:bookmarkStart w:name="A.8.1.1 总则" w:id="232"/>
      <w:bookmarkEnd w:id="232"/>
      <w:r>
        <w:rPr>
          <w:rFonts w:ascii="黑体" w:eastAsia="黑体" w:hint="eastAsia"/>
          <w:sz w:val="21"/>
        </w:rPr>
        <w:t>总则</w:t>
      </w:r>
    </w:p>
    <w:p>
      <w:pPr>
        <w:pStyle w:val="BodyText"/>
        <w:spacing w:line="278" w:lineRule="auto"/>
        <w:ind w:left="278" w:right="506" w:firstLine="420"/>
      </w:pPr>
      <w:r>
        <w:rPr>
          <w:w w:val="95"/>
        </w:rPr>
        <w:t>组织有必要建立和实施过程的运行策划和控制，通过消除危险源，或当消除危险源不可行时将运   </w:t>
      </w:r>
      <w:r>
        <w:rPr/>
        <w:t>行区域和活动的职业健康安全风险降低至最低合理可行水平，以增强职业健康安全。</w:t>
      </w:r>
    </w:p>
    <w:p>
      <w:pPr>
        <w:pStyle w:val="BodyText"/>
        <w:spacing w:line="269" w:lineRule="exact" w:before="0"/>
        <w:ind w:left="698"/>
      </w:pPr>
      <w:r>
        <w:rPr/>
        <w:t>过程的运行控制示例包括：</w:t>
      </w:r>
    </w:p>
    <w:p>
      <w:pPr>
        <w:pStyle w:val="ListParagraph"/>
        <w:numPr>
          <w:ilvl w:val="4"/>
          <w:numId w:val="57"/>
        </w:numPr>
        <w:tabs>
          <w:tab w:pos="1059" w:val="left" w:leader="none"/>
        </w:tabs>
        <w:spacing w:line="240" w:lineRule="auto" w:before="43" w:after="0"/>
        <w:ind w:left="1058" w:right="0" w:hanging="361"/>
        <w:jc w:val="left"/>
        <w:rPr>
          <w:sz w:val="21"/>
        </w:rPr>
      </w:pPr>
      <w:r>
        <w:rPr>
          <w:w w:val="95"/>
          <w:sz w:val="21"/>
        </w:rPr>
        <w:t>运用工作程序和系统；</w:t>
      </w:r>
    </w:p>
    <w:p>
      <w:pPr>
        <w:pStyle w:val="ListParagraph"/>
        <w:numPr>
          <w:ilvl w:val="4"/>
          <w:numId w:val="57"/>
        </w:numPr>
        <w:tabs>
          <w:tab w:pos="1059" w:val="left" w:leader="none"/>
        </w:tabs>
        <w:spacing w:line="240" w:lineRule="auto" w:before="43" w:after="0"/>
        <w:ind w:left="1058" w:right="0" w:hanging="361"/>
        <w:jc w:val="left"/>
        <w:rPr>
          <w:sz w:val="21"/>
        </w:rPr>
      </w:pPr>
      <w:r>
        <w:rPr>
          <w:w w:val="95"/>
          <w:sz w:val="21"/>
        </w:rPr>
        <w:t>确保工作人员的能力；</w:t>
      </w:r>
    </w:p>
    <w:p>
      <w:pPr>
        <w:pStyle w:val="ListParagraph"/>
        <w:numPr>
          <w:ilvl w:val="4"/>
          <w:numId w:val="57"/>
        </w:numPr>
        <w:tabs>
          <w:tab w:pos="1059" w:val="left" w:leader="none"/>
        </w:tabs>
        <w:spacing w:line="240" w:lineRule="auto" w:before="43" w:after="0"/>
        <w:ind w:left="1058" w:right="0" w:hanging="361"/>
        <w:jc w:val="left"/>
        <w:rPr>
          <w:sz w:val="21"/>
        </w:rPr>
      </w:pPr>
      <w:r>
        <w:rPr>
          <w:sz w:val="21"/>
        </w:rPr>
        <w:t>建立预防性或预测性的维护和检查方案；</w:t>
      </w:r>
    </w:p>
    <w:p>
      <w:pPr>
        <w:pStyle w:val="ListParagraph"/>
        <w:numPr>
          <w:ilvl w:val="4"/>
          <w:numId w:val="57"/>
        </w:numPr>
        <w:tabs>
          <w:tab w:pos="1059" w:val="left" w:leader="none"/>
        </w:tabs>
        <w:spacing w:line="240" w:lineRule="auto" w:before="43" w:after="0"/>
        <w:ind w:left="1058" w:right="0" w:hanging="361"/>
        <w:jc w:val="left"/>
        <w:rPr>
          <w:sz w:val="21"/>
        </w:rPr>
      </w:pPr>
      <w:r>
        <w:rPr>
          <w:sz w:val="21"/>
        </w:rPr>
        <w:t>货物和服务采购规范；</w:t>
      </w:r>
    </w:p>
    <w:p>
      <w:pPr>
        <w:spacing w:after="0" w:line="240" w:lineRule="auto"/>
        <w:jc w:val="left"/>
        <w:rPr>
          <w:sz w:val="21"/>
        </w:rPr>
        <w:sectPr>
          <w:pgSz w:w="11910" w:h="16840"/>
          <w:pgMar w:header="1442" w:footer="850" w:top="1660" w:bottom="1040" w:left="1140" w:right="740"/>
        </w:sectPr>
      </w:pPr>
    </w:p>
    <w:p>
      <w:pPr>
        <w:pStyle w:val="ListParagraph"/>
        <w:numPr>
          <w:ilvl w:val="4"/>
          <w:numId w:val="57"/>
        </w:numPr>
        <w:tabs>
          <w:tab w:pos="1059" w:val="left" w:leader="none"/>
        </w:tabs>
        <w:spacing w:line="240" w:lineRule="auto" w:before="157" w:after="0"/>
        <w:ind w:left="1058" w:right="0" w:hanging="361"/>
        <w:jc w:val="left"/>
        <w:rPr>
          <w:sz w:val="21"/>
        </w:rPr>
      </w:pPr>
      <w:r>
        <w:rPr>
          <w:sz w:val="21"/>
        </w:rPr>
        <w:t>应用法律法规要求和其他要求, 或制造商的设备说明书；</w:t>
      </w:r>
    </w:p>
    <w:p>
      <w:pPr>
        <w:pStyle w:val="ListParagraph"/>
        <w:numPr>
          <w:ilvl w:val="4"/>
          <w:numId w:val="57"/>
        </w:numPr>
        <w:tabs>
          <w:tab w:pos="1059" w:val="left" w:leader="none"/>
        </w:tabs>
        <w:spacing w:line="240" w:lineRule="auto" w:before="43" w:after="0"/>
        <w:ind w:left="1058" w:right="0" w:hanging="361"/>
        <w:jc w:val="left"/>
        <w:rPr>
          <w:sz w:val="21"/>
        </w:rPr>
      </w:pPr>
      <w:r>
        <w:rPr>
          <w:sz w:val="21"/>
        </w:rPr>
        <w:t>工程控制和管理控制；</w:t>
      </w:r>
    </w:p>
    <w:p>
      <w:pPr>
        <w:pStyle w:val="ListParagraph"/>
        <w:numPr>
          <w:ilvl w:val="4"/>
          <w:numId w:val="57"/>
        </w:numPr>
        <w:tabs>
          <w:tab w:pos="1059" w:val="left" w:leader="none"/>
        </w:tabs>
        <w:spacing w:line="240" w:lineRule="auto" w:before="43" w:after="0"/>
        <w:ind w:left="1058" w:right="0" w:hanging="361"/>
        <w:jc w:val="left"/>
        <w:rPr>
          <w:sz w:val="21"/>
        </w:rPr>
      </w:pPr>
      <w:r>
        <w:rPr>
          <w:sz w:val="21"/>
        </w:rPr>
        <w:t>使工作与工作人员相适宜，例如通过：</w:t>
      </w:r>
    </w:p>
    <w:p>
      <w:pPr>
        <w:pStyle w:val="ListParagraph"/>
        <w:numPr>
          <w:ilvl w:val="5"/>
          <w:numId w:val="57"/>
        </w:numPr>
        <w:tabs>
          <w:tab w:pos="1479" w:val="left" w:leader="none"/>
        </w:tabs>
        <w:spacing w:line="240" w:lineRule="auto" w:before="43" w:after="0"/>
        <w:ind w:left="1478" w:right="0" w:hanging="361"/>
        <w:jc w:val="left"/>
        <w:rPr>
          <w:sz w:val="21"/>
        </w:rPr>
      </w:pPr>
      <w:r>
        <w:rPr>
          <w:sz w:val="21"/>
        </w:rPr>
        <w:t>规定或重新规定工作的组织方式；</w:t>
      </w:r>
    </w:p>
    <w:p>
      <w:pPr>
        <w:pStyle w:val="ListParagraph"/>
        <w:numPr>
          <w:ilvl w:val="5"/>
          <w:numId w:val="57"/>
        </w:numPr>
        <w:tabs>
          <w:tab w:pos="1479" w:val="left" w:leader="none"/>
        </w:tabs>
        <w:spacing w:line="240" w:lineRule="auto" w:before="43" w:after="0"/>
        <w:ind w:left="1478" w:right="0" w:hanging="361"/>
        <w:jc w:val="left"/>
        <w:rPr>
          <w:sz w:val="21"/>
        </w:rPr>
      </w:pPr>
      <w:r>
        <w:rPr>
          <w:sz w:val="21"/>
        </w:rPr>
        <w:t>引进新工作人员；</w:t>
      </w:r>
    </w:p>
    <w:p>
      <w:pPr>
        <w:pStyle w:val="ListParagraph"/>
        <w:numPr>
          <w:ilvl w:val="5"/>
          <w:numId w:val="57"/>
        </w:numPr>
        <w:tabs>
          <w:tab w:pos="1479" w:val="left" w:leader="none"/>
        </w:tabs>
        <w:spacing w:line="240" w:lineRule="auto" w:before="43" w:after="0"/>
        <w:ind w:left="1478" w:right="0" w:hanging="361"/>
        <w:jc w:val="left"/>
        <w:rPr>
          <w:sz w:val="21"/>
        </w:rPr>
      </w:pPr>
      <w:r>
        <w:rPr>
          <w:sz w:val="21"/>
        </w:rPr>
        <w:t>规定或重新规定过程和工作环境；</w:t>
      </w:r>
    </w:p>
    <w:p>
      <w:pPr>
        <w:pStyle w:val="ListParagraph"/>
        <w:numPr>
          <w:ilvl w:val="5"/>
          <w:numId w:val="57"/>
        </w:numPr>
        <w:tabs>
          <w:tab w:pos="1479" w:val="left" w:leader="none"/>
        </w:tabs>
        <w:spacing w:line="240" w:lineRule="auto" w:before="43" w:after="0"/>
        <w:ind w:left="1478" w:right="0" w:hanging="361"/>
        <w:jc w:val="left"/>
        <w:rPr>
          <w:sz w:val="21"/>
        </w:rPr>
      </w:pPr>
      <w:r>
        <w:rPr>
          <w:sz w:val="21"/>
        </w:rPr>
        <w:t>在设计新的或改造已有的工作场所和设备等时应用人类工效学方法等。</w:t>
      </w:r>
    </w:p>
    <w:p>
      <w:pPr>
        <w:pStyle w:val="ListParagraph"/>
        <w:numPr>
          <w:ilvl w:val="3"/>
          <w:numId w:val="57"/>
        </w:numPr>
        <w:tabs>
          <w:tab w:pos="1119" w:val="left" w:leader="none"/>
        </w:tabs>
        <w:spacing w:line="240" w:lineRule="auto" w:before="43" w:after="0"/>
        <w:ind w:left="1118" w:right="0" w:hanging="841"/>
        <w:jc w:val="left"/>
        <w:rPr>
          <w:rFonts w:ascii="黑体" w:eastAsia="黑体" w:hint="eastAsia"/>
          <w:sz w:val="21"/>
        </w:rPr>
      </w:pPr>
      <w:bookmarkStart w:name="A.8.1.2 消除危险源和降低职业健康风险" w:id="233"/>
      <w:bookmarkEnd w:id="233"/>
      <w:r>
        <w:rPr/>
      </w:r>
      <w:bookmarkStart w:name="A.8.1.2 消除危险源和降低职业健康风险" w:id="234"/>
      <w:bookmarkEnd w:id="234"/>
      <w:r>
        <w:rPr>
          <w:rFonts w:ascii="黑体" w:eastAsia="黑体" w:hint="eastAsia"/>
          <w:sz w:val="21"/>
        </w:rPr>
        <w:t>消除危险源和降低职业健康风险</w:t>
      </w:r>
    </w:p>
    <w:p>
      <w:pPr>
        <w:pStyle w:val="BodyText"/>
        <w:spacing w:line="278" w:lineRule="auto"/>
        <w:ind w:left="278" w:right="506" w:firstLine="420"/>
        <w:jc w:val="both"/>
      </w:pPr>
      <w:r>
        <w:rPr>
          <w:w w:val="95"/>
        </w:rPr>
        <w:t>控制层级旨在提供一种系统的方法来增强职业健康安全、消除危险源和降低或控制职业健康安全   风险。每个层级的控制效果低于前一个层级。为了成功地将职业健康安全风险尽可能降低至最低合理   </w:t>
      </w:r>
      <w:r>
        <w:rPr/>
        <w:t>可行水平，通常采用多个控制的组合。</w:t>
      </w:r>
    </w:p>
    <w:p>
      <w:pPr>
        <w:pStyle w:val="BodyText"/>
        <w:spacing w:line="269" w:lineRule="exact" w:before="0"/>
        <w:ind w:left="698"/>
      </w:pPr>
      <w:r>
        <w:rPr/>
        <w:t>以下示例说明了每个层级可以实施的措施：</w:t>
      </w:r>
    </w:p>
    <w:p>
      <w:pPr>
        <w:pStyle w:val="ListParagraph"/>
        <w:numPr>
          <w:ilvl w:val="4"/>
          <w:numId w:val="57"/>
        </w:numPr>
        <w:tabs>
          <w:tab w:pos="1059" w:val="left" w:leader="none"/>
        </w:tabs>
        <w:spacing w:line="278" w:lineRule="auto" w:before="43" w:after="0"/>
        <w:ind w:left="1058" w:right="506" w:hanging="360"/>
        <w:jc w:val="both"/>
        <w:rPr>
          <w:sz w:val="21"/>
        </w:rPr>
      </w:pPr>
      <w:r>
        <w:rPr>
          <w:sz w:val="21"/>
        </w:rPr>
        <w:t>消除：移除危险源；停止使用危险化学品；在规划新的工作场所时应用人类工效学方法；消除单调的工作或导致负面压力的工作；在某区域不再使用叉车；</w:t>
      </w:r>
    </w:p>
    <w:p>
      <w:pPr>
        <w:pStyle w:val="ListParagraph"/>
        <w:numPr>
          <w:ilvl w:val="4"/>
          <w:numId w:val="57"/>
        </w:numPr>
        <w:tabs>
          <w:tab w:pos="1059" w:val="left" w:leader="none"/>
        </w:tabs>
        <w:spacing w:line="278" w:lineRule="auto" w:before="0" w:after="0"/>
        <w:ind w:left="1058" w:right="506" w:hanging="360"/>
        <w:jc w:val="both"/>
        <w:rPr>
          <w:sz w:val="21"/>
        </w:rPr>
      </w:pPr>
      <w:r>
        <w:rPr>
          <w:sz w:val="21"/>
        </w:rPr>
        <w:t>替代：用低危险性替代高危险性；改用在线指南来回应顾客抱怨；从源头防止职业健康安全</w:t>
      </w:r>
      <w:r>
        <w:rPr>
          <w:spacing w:val="-8"/>
          <w:sz w:val="21"/>
        </w:rPr>
        <w:t>风险；适应技术进步 (如用水性漆代替溶剂型漆)；更换光滑的地板材料；降低设备的电压要求；</w:t>
      </w:r>
    </w:p>
    <w:p>
      <w:pPr>
        <w:pStyle w:val="ListParagraph"/>
        <w:numPr>
          <w:ilvl w:val="4"/>
          <w:numId w:val="57"/>
        </w:numPr>
        <w:tabs>
          <w:tab w:pos="1059" w:val="left" w:leader="none"/>
        </w:tabs>
        <w:spacing w:line="278" w:lineRule="auto" w:before="0" w:after="0"/>
        <w:ind w:left="1058" w:right="506" w:hanging="360"/>
        <w:jc w:val="both"/>
        <w:rPr>
          <w:sz w:val="21"/>
        </w:rPr>
      </w:pPr>
      <w:r>
        <w:rPr>
          <w:sz w:val="21"/>
        </w:rPr>
        <w:t>工程控制、工作重组或两者兼用：将人与危险源隔离；实施集体防护措施 (如隔离、机械防</w:t>
      </w:r>
      <w:r>
        <w:rPr>
          <w:spacing w:val="-7"/>
          <w:w w:val="95"/>
          <w:sz w:val="21"/>
        </w:rPr>
        <w:t>护装置、通风系统)；采用机械装卸；降低噪音；使用护栏防止高空坠落；采用工作重组以避   </w:t>
      </w:r>
      <w:r>
        <w:rPr>
          <w:spacing w:val="-7"/>
          <w:sz w:val="21"/>
        </w:rPr>
        <w:t>免人员单独工作、有碍健康的工时和工作量, 或防止重大伤害；</w:t>
      </w:r>
    </w:p>
    <w:p>
      <w:pPr>
        <w:pStyle w:val="ListParagraph"/>
        <w:numPr>
          <w:ilvl w:val="4"/>
          <w:numId w:val="57"/>
        </w:numPr>
        <w:tabs>
          <w:tab w:pos="1059" w:val="left" w:leader="none"/>
        </w:tabs>
        <w:spacing w:line="278" w:lineRule="auto" w:before="0" w:after="0"/>
        <w:ind w:left="1058" w:right="506" w:hanging="360"/>
        <w:jc w:val="both"/>
        <w:rPr>
          <w:sz w:val="21"/>
        </w:rPr>
      </w:pPr>
      <w:r>
        <w:rPr>
          <w:sz w:val="21"/>
        </w:rPr>
        <w:t>管理控制, 包括培训：实施定期的安全设备检查；实施防止欺凌和骚扰的培训；通过协调分包方的活动来管理健康和安全；实施上岗培训；管理叉车驾驶证；指导工作人员如何报告事</w:t>
      </w:r>
      <w:r>
        <w:rPr>
          <w:spacing w:val="-7"/>
          <w:sz w:val="21"/>
        </w:rPr>
        <w:t>件、不符合和受害情况而不用担心遭到报复；改变工作人员的工作模式 (如轮班)；为已确定</w:t>
      </w:r>
      <w:r>
        <w:rPr>
          <w:spacing w:val="-4"/>
          <w:sz w:val="21"/>
        </w:rPr>
        <w:t>处于危险状况(如与听力、手臂振动、呼吸系统疾病、皮肤病或暴露有关的危险)中的工作人员管理健康或医疗监测方案；给工作人员适当的指令（如入口控制过程）；</w:t>
      </w:r>
    </w:p>
    <w:p>
      <w:pPr>
        <w:pStyle w:val="ListParagraph"/>
        <w:numPr>
          <w:ilvl w:val="4"/>
          <w:numId w:val="57"/>
        </w:numPr>
        <w:tabs>
          <w:tab w:pos="1059" w:val="left" w:leader="none"/>
        </w:tabs>
        <w:spacing w:line="278" w:lineRule="auto" w:before="0" w:after="0"/>
        <w:ind w:left="1058" w:right="508" w:hanging="360"/>
        <w:jc w:val="both"/>
        <w:rPr>
          <w:sz w:val="21"/>
        </w:rPr>
      </w:pPr>
      <w:r>
        <w:rPr>
          <w:sz w:val="21"/>
        </w:rPr>
        <w:t>个人防护用品（PPE）</w:t>
      </w:r>
      <w:r>
        <w:rPr>
          <w:spacing w:val="-7"/>
          <w:sz w:val="21"/>
        </w:rPr>
        <w:t>：提供充足的 </w:t>
      </w:r>
      <w:r>
        <w:rPr>
          <w:sz w:val="21"/>
        </w:rPr>
        <w:t>PPE</w:t>
      </w:r>
      <w:r>
        <w:rPr>
          <w:spacing w:val="-6"/>
          <w:sz w:val="21"/>
        </w:rPr>
        <w:t>，包括服装以及 </w:t>
      </w:r>
      <w:r>
        <w:rPr>
          <w:sz w:val="21"/>
        </w:rPr>
        <w:t>PPE (如安全鞋、防护眼镜、听力保护装备、手套等) 的使用和维护说明书。</w:t>
      </w:r>
    </w:p>
    <w:p>
      <w:pPr>
        <w:pStyle w:val="ListParagraph"/>
        <w:numPr>
          <w:ilvl w:val="3"/>
          <w:numId w:val="57"/>
        </w:numPr>
        <w:tabs>
          <w:tab w:pos="1119" w:val="left" w:leader="none"/>
        </w:tabs>
        <w:spacing w:line="269" w:lineRule="exact" w:before="0" w:after="0"/>
        <w:ind w:left="1118" w:right="0" w:hanging="841"/>
        <w:jc w:val="left"/>
        <w:rPr>
          <w:rFonts w:ascii="黑体" w:eastAsia="黑体" w:hint="eastAsia"/>
          <w:sz w:val="21"/>
        </w:rPr>
      </w:pPr>
      <w:bookmarkStart w:name="A.8.1.3 变更管理" w:id="235"/>
      <w:bookmarkEnd w:id="235"/>
      <w:r>
        <w:rPr/>
      </w:r>
      <w:bookmarkStart w:name="A.8.1.3 变更管理" w:id="236"/>
      <w:bookmarkEnd w:id="236"/>
      <w:r>
        <w:rPr>
          <w:rFonts w:ascii="黑体" w:eastAsia="黑体" w:hint="eastAsia"/>
          <w:sz w:val="21"/>
        </w:rPr>
        <w:t>变更管理</w:t>
      </w:r>
    </w:p>
    <w:p>
      <w:pPr>
        <w:pStyle w:val="BodyText"/>
        <w:spacing w:line="278" w:lineRule="auto" w:before="41"/>
        <w:ind w:left="278" w:right="505" w:firstLine="420"/>
        <w:jc w:val="both"/>
      </w:pPr>
      <w:r>
        <w:rPr>
          <w:w w:val="95"/>
        </w:rPr>
        <w:t>对变更过程进行管理的目标是，在变更（如技术、设备、设施、工作惯例和程序、设计规范、原   材料、人员配备、标准或规则的变更）发生时，通过尽可能减少将新危险源和职业健康安全风险引入   工作环境来增强工作中的职业健康安全。根据预期变更的性质，组织可以使用适当的方法（如设计评   </w:t>
      </w:r>
      <w:r>
        <w:rPr/>
        <w:t>审</w:t>
      </w:r>
      <w:r>
        <w:rPr>
          <w:spacing w:val="-13"/>
        </w:rPr>
        <w:t>）</w:t>
      </w:r>
      <w:r>
        <w:rPr>
          <w:spacing w:val="-2"/>
        </w:rPr>
        <w:t>来评价职业健康安全风险和职业健康安全机遇的变化。变更管理的需求可能是策划</w:t>
      </w:r>
      <w:r>
        <w:rPr/>
        <w:t>（</w:t>
      </w:r>
      <w:r>
        <w:rPr>
          <w:spacing w:val="-39"/>
        </w:rPr>
        <w:t>见 </w:t>
      </w:r>
      <w:r>
        <w:rPr>
          <w:rFonts w:ascii="Times New Roman" w:eastAsia="Times New Roman"/>
        </w:rPr>
        <w:t>6.1.4</w:t>
      </w:r>
      <w:r>
        <w:rPr/>
        <w:t>）的输出。</w:t>
      </w:r>
    </w:p>
    <w:p>
      <w:pPr>
        <w:pStyle w:val="ListParagraph"/>
        <w:numPr>
          <w:ilvl w:val="3"/>
          <w:numId w:val="57"/>
        </w:numPr>
        <w:tabs>
          <w:tab w:pos="1119" w:val="left" w:leader="none"/>
        </w:tabs>
        <w:spacing w:line="269" w:lineRule="exact" w:before="0" w:after="0"/>
        <w:ind w:left="1118" w:right="0" w:hanging="841"/>
        <w:jc w:val="left"/>
        <w:rPr>
          <w:rFonts w:ascii="黑体" w:eastAsia="黑体" w:hint="eastAsia"/>
          <w:sz w:val="21"/>
        </w:rPr>
      </w:pPr>
      <w:bookmarkStart w:name="A.8.1.4 采购" w:id="237"/>
      <w:bookmarkEnd w:id="237"/>
      <w:r>
        <w:rPr/>
      </w:r>
      <w:bookmarkStart w:name="A.8.1.4 采购" w:id="238"/>
      <w:bookmarkEnd w:id="238"/>
      <w:r>
        <w:rPr>
          <w:rFonts w:ascii="黑体" w:eastAsia="黑体" w:hint="eastAsia"/>
          <w:sz w:val="21"/>
        </w:rPr>
        <w:t>采购</w:t>
      </w:r>
    </w:p>
    <w:p>
      <w:pPr>
        <w:pStyle w:val="ListParagraph"/>
        <w:numPr>
          <w:ilvl w:val="4"/>
          <w:numId w:val="58"/>
        </w:numPr>
        <w:tabs>
          <w:tab w:pos="1328" w:val="left" w:leader="none"/>
        </w:tabs>
        <w:spacing w:line="240" w:lineRule="auto" w:before="43" w:after="0"/>
        <w:ind w:left="1327" w:right="0" w:hanging="1050"/>
        <w:jc w:val="left"/>
        <w:rPr>
          <w:rFonts w:ascii="黑体" w:eastAsia="黑体" w:hint="eastAsia"/>
          <w:sz w:val="21"/>
        </w:rPr>
      </w:pPr>
      <w:bookmarkStart w:name="A.8.1.4.1 总则" w:id="239"/>
      <w:bookmarkEnd w:id="239"/>
      <w:r>
        <w:rPr/>
      </w:r>
      <w:bookmarkStart w:name="A.8.1.4.1 总则" w:id="240"/>
      <w:bookmarkEnd w:id="240"/>
      <w:r>
        <w:rPr>
          <w:rFonts w:ascii="黑体" w:eastAsia="黑体" w:hint="eastAsia"/>
          <w:sz w:val="21"/>
        </w:rPr>
        <w:t>总则</w:t>
      </w:r>
    </w:p>
    <w:p>
      <w:pPr>
        <w:pStyle w:val="BodyText"/>
        <w:spacing w:line="278" w:lineRule="auto"/>
        <w:ind w:left="278" w:right="506" w:firstLine="420"/>
        <w:jc w:val="both"/>
      </w:pPr>
      <w:r>
        <w:rPr>
          <w:w w:val="95"/>
        </w:rPr>
        <w:t>在诸如产品、危险材料或物质、原材料、设备或服务等被引入到工作场所前，采购过程宜用于确   </w:t>
      </w:r>
      <w:r>
        <w:rPr/>
        <w:t>定、评价和消除危险源</w:t>
      </w:r>
      <w:r>
        <w:rPr>
          <w:rFonts w:ascii="Times New Roman" w:eastAsia="Times New Roman"/>
          <w:spacing w:val="25"/>
        </w:rPr>
        <w:t>, </w:t>
      </w:r>
      <w:r>
        <w:rPr/>
        <w:t>并降低与之相关的职业健康安全风险。</w:t>
      </w:r>
    </w:p>
    <w:p>
      <w:pPr>
        <w:pStyle w:val="BodyText"/>
        <w:spacing w:line="278" w:lineRule="auto" w:before="0"/>
        <w:ind w:left="278" w:right="505" w:firstLine="420"/>
        <w:jc w:val="both"/>
      </w:pPr>
      <w:r>
        <w:rPr>
          <w:w w:val="95"/>
        </w:rPr>
        <w:t>组织的采购过程宜应对包括对诸如组织所购买的供给物、设备、原材料以及其他货物和相关服务   </w:t>
      </w:r>
      <w:r>
        <w:rPr>
          <w:spacing w:val="-4"/>
        </w:rPr>
        <w:t>等的要求，以符合组织的职业健康安全管理体系。该过程还宜应对协商</w:t>
      </w:r>
      <w:r>
        <w:rPr/>
        <w:t>（</w:t>
      </w:r>
      <w:r>
        <w:rPr>
          <w:spacing w:val="-32"/>
        </w:rPr>
        <w:t>见 </w:t>
      </w:r>
      <w:r>
        <w:rPr>
          <w:rFonts w:ascii="Times New Roman" w:eastAsia="Times New Roman"/>
        </w:rPr>
        <w:t>5.4</w:t>
      </w:r>
      <w:r>
        <w:rPr/>
        <w:t>）</w:t>
      </w:r>
      <w:r>
        <w:rPr>
          <w:spacing w:val="-3"/>
        </w:rPr>
        <w:t>和沟通</w:t>
      </w:r>
      <w:r>
        <w:rPr/>
        <w:t>（</w:t>
      </w:r>
      <w:r>
        <w:rPr>
          <w:spacing w:val="-9"/>
        </w:rPr>
        <w:t>见 </w:t>
      </w:r>
      <w:r>
        <w:rPr>
          <w:rFonts w:ascii="Times New Roman" w:eastAsia="Times New Roman"/>
          <w:spacing w:val="-3"/>
        </w:rPr>
        <w:t>7.4</w:t>
      </w:r>
      <w:r>
        <w:rPr>
          <w:spacing w:val="-3"/>
        </w:rPr>
        <w:t>）</w:t>
      </w:r>
      <w:r>
        <w:rPr/>
        <w:t>的任何需求。</w:t>
      </w:r>
    </w:p>
    <w:p>
      <w:pPr>
        <w:pStyle w:val="BodyText"/>
        <w:spacing w:line="269" w:lineRule="exact" w:before="0"/>
        <w:ind w:left="698"/>
      </w:pPr>
      <w:r>
        <w:rPr/>
        <w:t>组织宜证实工作人员所用设备、装置和材料是安全的，通过确保：</w:t>
      </w:r>
    </w:p>
    <w:p>
      <w:pPr>
        <w:pStyle w:val="ListParagraph"/>
        <w:numPr>
          <w:ilvl w:val="5"/>
          <w:numId w:val="58"/>
        </w:numPr>
        <w:tabs>
          <w:tab w:pos="1059" w:val="left" w:leader="none"/>
        </w:tabs>
        <w:spacing w:line="240" w:lineRule="auto" w:before="43" w:after="0"/>
        <w:ind w:left="1058" w:right="0" w:hanging="361"/>
        <w:jc w:val="left"/>
        <w:rPr>
          <w:sz w:val="21"/>
        </w:rPr>
      </w:pPr>
      <w:r>
        <w:rPr>
          <w:sz w:val="21"/>
        </w:rPr>
        <w:t>设备按规范交付，并为确保其按预期工作而已经过测试；</w:t>
      </w:r>
    </w:p>
    <w:p>
      <w:pPr>
        <w:pStyle w:val="ListParagraph"/>
        <w:numPr>
          <w:ilvl w:val="5"/>
          <w:numId w:val="58"/>
        </w:numPr>
        <w:tabs>
          <w:tab w:pos="1059" w:val="left" w:leader="none"/>
        </w:tabs>
        <w:spacing w:line="240" w:lineRule="auto" w:before="43" w:after="0"/>
        <w:ind w:left="1058" w:right="0" w:hanging="361"/>
        <w:jc w:val="left"/>
        <w:rPr>
          <w:sz w:val="21"/>
        </w:rPr>
      </w:pPr>
      <w:r>
        <w:rPr>
          <w:sz w:val="21"/>
        </w:rPr>
        <w:t>装置得到调试，以确保其按照设计运行；</w:t>
      </w:r>
    </w:p>
    <w:p>
      <w:pPr>
        <w:pStyle w:val="ListParagraph"/>
        <w:numPr>
          <w:ilvl w:val="5"/>
          <w:numId w:val="58"/>
        </w:numPr>
        <w:tabs>
          <w:tab w:pos="1059" w:val="left" w:leader="none"/>
        </w:tabs>
        <w:spacing w:line="240" w:lineRule="auto" w:before="43" w:after="0"/>
        <w:ind w:left="1058" w:right="0" w:hanging="361"/>
        <w:jc w:val="left"/>
        <w:rPr>
          <w:sz w:val="21"/>
        </w:rPr>
      </w:pPr>
      <w:r>
        <w:rPr>
          <w:sz w:val="21"/>
        </w:rPr>
        <w:t>材料按规范交付；</w:t>
      </w:r>
    </w:p>
    <w:p>
      <w:pPr>
        <w:spacing w:after="0" w:line="240" w:lineRule="auto"/>
        <w:jc w:val="left"/>
        <w:rPr>
          <w:sz w:val="21"/>
        </w:rPr>
        <w:sectPr>
          <w:pgSz w:w="11910" w:h="16840"/>
          <w:pgMar w:header="1442" w:footer="850" w:top="1660" w:bottom="1040" w:left="1140" w:right="740"/>
        </w:sectPr>
      </w:pPr>
    </w:p>
    <w:p>
      <w:pPr>
        <w:pStyle w:val="ListParagraph"/>
        <w:numPr>
          <w:ilvl w:val="5"/>
          <w:numId w:val="58"/>
        </w:numPr>
        <w:tabs>
          <w:tab w:pos="1059" w:val="left" w:leader="none"/>
        </w:tabs>
        <w:spacing w:line="240" w:lineRule="auto" w:before="157" w:after="0"/>
        <w:ind w:left="1058" w:right="0" w:hanging="361"/>
        <w:jc w:val="left"/>
        <w:rPr>
          <w:sz w:val="21"/>
        </w:rPr>
      </w:pPr>
      <w:r>
        <w:rPr>
          <w:sz w:val="21"/>
        </w:rPr>
        <w:t>任何使用要求、注意事项或其他防护措施已得到沟通并可获取。</w:t>
      </w:r>
    </w:p>
    <w:p>
      <w:pPr>
        <w:pStyle w:val="ListParagraph"/>
        <w:numPr>
          <w:ilvl w:val="4"/>
          <w:numId w:val="58"/>
        </w:numPr>
        <w:tabs>
          <w:tab w:pos="1328" w:val="left" w:leader="none"/>
        </w:tabs>
        <w:spacing w:line="240" w:lineRule="auto" w:before="43" w:after="0"/>
        <w:ind w:left="1327" w:right="0" w:hanging="1050"/>
        <w:jc w:val="left"/>
        <w:rPr>
          <w:rFonts w:ascii="黑体" w:eastAsia="黑体" w:hint="eastAsia"/>
          <w:sz w:val="21"/>
        </w:rPr>
      </w:pPr>
      <w:bookmarkStart w:name="A.8.1.4.2 承包方" w:id="241"/>
      <w:bookmarkEnd w:id="241"/>
      <w:r>
        <w:rPr/>
      </w:r>
      <w:bookmarkStart w:name="A.8.1.4.2 承包方" w:id="242"/>
      <w:bookmarkEnd w:id="242"/>
      <w:r>
        <w:rPr>
          <w:rFonts w:ascii="黑体" w:eastAsia="黑体" w:hint="eastAsia"/>
          <w:sz w:val="21"/>
        </w:rPr>
        <w:t>承包方</w:t>
      </w:r>
    </w:p>
    <w:p>
      <w:pPr>
        <w:pStyle w:val="BodyText"/>
        <w:ind w:left="698"/>
      </w:pPr>
      <w:r>
        <w:rPr/>
        <w:t>之所以需要协调，是因为某些承包方（如外部供方）拥有专业知识、技能、方法和手段。</w:t>
      </w:r>
    </w:p>
    <w:p>
      <w:pPr>
        <w:pStyle w:val="BodyText"/>
        <w:spacing w:line="278" w:lineRule="auto"/>
        <w:ind w:left="278" w:right="506" w:firstLine="420"/>
        <w:jc w:val="both"/>
      </w:pPr>
      <w:r>
        <w:rPr>
          <w:w w:val="95"/>
        </w:rPr>
        <w:t>承包方的活动和运行的示例包括维护、施工、操作、安保、清洁和许多其他职能。承包方还可包   括在行政、会计和其他职能方面的顾问或专家。将活动委派给承包方并不能免除组织对工作人员的职   </w:t>
      </w:r>
      <w:r>
        <w:rPr/>
        <w:t>业健康安全责任。</w:t>
      </w:r>
    </w:p>
    <w:p>
      <w:pPr>
        <w:pStyle w:val="BodyText"/>
        <w:spacing w:line="269" w:lineRule="exact" w:before="0"/>
        <w:ind w:left="698"/>
      </w:pPr>
      <w:r>
        <w:rPr/>
        <w:t>组织可通过合同来清晰界定有关各方的责任，实现对承包方活动的协调。组织可以使用各种工具</w:t>
      </w:r>
    </w:p>
    <w:p>
      <w:pPr>
        <w:pStyle w:val="BodyText"/>
        <w:spacing w:line="278" w:lineRule="auto"/>
        <w:ind w:left="278" w:right="506"/>
      </w:pPr>
      <w:r>
        <w:rPr>
          <w:w w:val="95"/>
        </w:rPr>
        <w:t>（例如：合同奖励机制，或对以往职业健康安全绩效、安全培训或职业健康安全能力加以考虑的资格   </w:t>
      </w:r>
      <w:r>
        <w:rPr/>
        <w:t>预审准则；直接的合同要求）确保承包方在工作场所中的职业健康安全绩效。</w:t>
      </w:r>
    </w:p>
    <w:p>
      <w:pPr>
        <w:pStyle w:val="BodyText"/>
        <w:spacing w:line="278" w:lineRule="auto" w:before="0"/>
        <w:ind w:left="278" w:right="506" w:firstLine="420"/>
        <w:jc w:val="both"/>
      </w:pPr>
      <w:r>
        <w:rPr>
          <w:w w:val="95"/>
        </w:rPr>
        <w:t>当与承包方协调时，组织宜考虑对自身与其承包方之间的危险源的报告，对工作人员进入危险区   域的控制，以及紧急情况下需执行的程序。组织宜规定承包方如何将其活动与组织自身的职业健康安   全管理体系过程（如那些用于控制进入和受限空间进入、暴露评价和过程安全管理的过程）相协调，   </w:t>
      </w:r>
      <w:r>
        <w:rPr/>
        <w:t>以及如何报告事件。</w:t>
      </w:r>
    </w:p>
    <w:p>
      <w:pPr>
        <w:pStyle w:val="BodyText"/>
        <w:spacing w:line="269" w:lineRule="exact" w:before="0"/>
        <w:ind w:left="698"/>
      </w:pPr>
      <w:r>
        <w:rPr/>
        <w:t>组织宜证实承包方在被允许开展工作前有能力执行其任务；例如，通过证实：</w:t>
      </w:r>
    </w:p>
    <w:p>
      <w:pPr>
        <w:pStyle w:val="ListParagraph"/>
        <w:numPr>
          <w:ilvl w:val="0"/>
          <w:numId w:val="59"/>
        </w:numPr>
        <w:tabs>
          <w:tab w:pos="1107" w:val="left" w:leader="none"/>
        </w:tabs>
        <w:spacing w:line="240" w:lineRule="auto" w:before="43" w:after="0"/>
        <w:ind w:left="1106" w:right="0" w:hanging="409"/>
        <w:jc w:val="left"/>
        <w:rPr>
          <w:sz w:val="21"/>
        </w:rPr>
      </w:pPr>
      <w:r>
        <w:rPr>
          <w:sz w:val="21"/>
        </w:rPr>
        <w:t>职业健康安全绩效的记录是令人满意的；</w:t>
      </w:r>
    </w:p>
    <w:p>
      <w:pPr>
        <w:pStyle w:val="ListParagraph"/>
        <w:numPr>
          <w:ilvl w:val="0"/>
          <w:numId w:val="59"/>
        </w:numPr>
        <w:tabs>
          <w:tab w:pos="1119" w:val="left" w:leader="none"/>
        </w:tabs>
        <w:spacing w:line="240" w:lineRule="auto" w:before="43" w:after="0"/>
        <w:ind w:left="1118" w:right="0" w:hanging="421"/>
        <w:jc w:val="left"/>
        <w:rPr>
          <w:sz w:val="21"/>
        </w:rPr>
      </w:pPr>
      <w:r>
        <w:rPr>
          <w:spacing w:val="-1"/>
          <w:w w:val="99"/>
          <w:sz w:val="21"/>
        </w:rPr>
        <w:t>工作人员的资格、经验和能力准则已被规定并已得到满足（如通过培训</w:t>
      </w:r>
      <w:r>
        <w:rPr>
          <w:spacing w:val="-104"/>
          <w:w w:val="99"/>
          <w:sz w:val="21"/>
        </w:rPr>
        <w:t>）</w:t>
      </w:r>
      <w:r>
        <w:rPr>
          <w:w w:val="99"/>
          <w:sz w:val="21"/>
        </w:rPr>
        <w:t>；</w:t>
      </w:r>
    </w:p>
    <w:p>
      <w:pPr>
        <w:pStyle w:val="ListParagraph"/>
        <w:numPr>
          <w:ilvl w:val="0"/>
          <w:numId w:val="59"/>
        </w:numPr>
        <w:tabs>
          <w:tab w:pos="1107" w:val="left" w:leader="none"/>
        </w:tabs>
        <w:spacing w:line="240" w:lineRule="auto" w:before="43" w:after="0"/>
        <w:ind w:left="1106" w:right="0" w:hanging="409"/>
        <w:jc w:val="left"/>
        <w:rPr>
          <w:sz w:val="21"/>
        </w:rPr>
      </w:pPr>
      <w:r>
        <w:rPr>
          <w:sz w:val="21"/>
        </w:rPr>
        <w:t>资源、设备和工作准备是充分的并准备开始工作。</w:t>
      </w:r>
    </w:p>
    <w:p>
      <w:pPr>
        <w:pStyle w:val="ListParagraph"/>
        <w:numPr>
          <w:ilvl w:val="4"/>
          <w:numId w:val="58"/>
        </w:numPr>
        <w:tabs>
          <w:tab w:pos="1328" w:val="left" w:leader="none"/>
        </w:tabs>
        <w:spacing w:line="240" w:lineRule="auto" w:before="43" w:after="0"/>
        <w:ind w:left="1327" w:right="0" w:hanging="1050"/>
        <w:jc w:val="left"/>
        <w:rPr>
          <w:rFonts w:ascii="黑体" w:eastAsia="黑体" w:hint="eastAsia"/>
          <w:sz w:val="21"/>
        </w:rPr>
      </w:pPr>
      <w:bookmarkStart w:name="A.8.1.4.3 外包" w:id="243"/>
      <w:bookmarkEnd w:id="243"/>
      <w:r>
        <w:rPr/>
      </w:r>
      <w:bookmarkStart w:name="A.8.1.4.3 外包" w:id="244"/>
      <w:bookmarkEnd w:id="244"/>
      <w:r>
        <w:rPr>
          <w:rFonts w:ascii="黑体" w:eastAsia="黑体" w:hint="eastAsia"/>
          <w:sz w:val="21"/>
        </w:rPr>
        <w:t>外包</w:t>
      </w:r>
    </w:p>
    <w:p>
      <w:pPr>
        <w:pStyle w:val="BodyText"/>
        <w:spacing w:line="278" w:lineRule="auto"/>
        <w:ind w:left="278" w:right="506" w:firstLine="420"/>
      </w:pPr>
      <w:r>
        <w:rPr>
          <w:w w:val="95"/>
        </w:rPr>
        <w:t>外包时，组织需对外包的职能和过程进行控制以实现职业健康安全管理体系的预期结果。对于外   </w:t>
      </w:r>
      <w:r>
        <w:rPr/>
        <w:t>包的职能和过程，符合本标准要求仍是组织的责任。</w:t>
      </w:r>
    </w:p>
    <w:p>
      <w:pPr>
        <w:pStyle w:val="BodyText"/>
        <w:spacing w:line="269" w:lineRule="exact" w:before="0"/>
        <w:ind w:left="698"/>
      </w:pPr>
      <w:r>
        <w:rPr/>
        <w:t>组织宜基于诸如以下因素，确定对外包职能或过程的控制程度：</w:t>
      </w:r>
    </w:p>
    <w:p>
      <w:pPr>
        <w:pStyle w:val="BodyText"/>
        <w:spacing w:before="42"/>
        <w:ind w:left="698"/>
      </w:pPr>
      <w:r>
        <w:rPr/>
        <w:t>——外部组织满足组织职业健康安全管理体系要求的能力；</w:t>
      </w:r>
    </w:p>
    <w:p>
      <w:pPr>
        <w:pStyle w:val="BodyText"/>
        <w:ind w:left="698"/>
      </w:pPr>
      <w:r>
        <w:rPr/>
        <w:t>——组织确定适当的控制措施或评价控制措施的充分性的技术能力；</w:t>
      </w:r>
    </w:p>
    <w:p>
      <w:pPr>
        <w:pStyle w:val="BodyText"/>
        <w:ind w:left="698"/>
      </w:pPr>
      <w:r>
        <w:rPr/>
        <w:t>——外包的过程或职能对组织实现职业健康安全管理体系预期结果的能力的潜在影响；</w:t>
      </w:r>
    </w:p>
    <w:p>
      <w:pPr>
        <w:pStyle w:val="BodyText"/>
        <w:ind w:left="698"/>
      </w:pPr>
      <w:r>
        <w:rPr/>
        <w:t>——外包的过程或职能被分担的程度；</w:t>
      </w:r>
    </w:p>
    <w:p>
      <w:pPr>
        <w:pStyle w:val="BodyText"/>
        <w:ind w:left="698"/>
      </w:pPr>
      <w:r>
        <w:rPr/>
        <w:t>——组织通过应用其采购过程实现必要的控制的能力；</w:t>
      </w:r>
    </w:p>
    <w:p>
      <w:pPr>
        <w:pStyle w:val="BodyText"/>
        <w:ind w:left="698"/>
      </w:pPr>
      <w:r>
        <w:rPr/>
        <w:t>——改进的机遇。</w:t>
      </w:r>
    </w:p>
    <w:p>
      <w:pPr>
        <w:pStyle w:val="BodyText"/>
        <w:ind w:left="698"/>
      </w:pPr>
      <w:r>
        <w:rPr/>
        <w:t>在一些国家，法律法规要求中提出了对外包职能或过程的要求。</w:t>
      </w:r>
    </w:p>
    <w:p>
      <w:pPr>
        <w:pStyle w:val="ListParagraph"/>
        <w:numPr>
          <w:ilvl w:val="2"/>
          <w:numId w:val="57"/>
        </w:numPr>
        <w:tabs>
          <w:tab w:pos="908" w:val="left" w:leader="none"/>
        </w:tabs>
        <w:spacing w:line="240" w:lineRule="auto" w:before="43" w:after="0"/>
        <w:ind w:left="907" w:right="0" w:hanging="630"/>
        <w:jc w:val="left"/>
        <w:rPr>
          <w:rFonts w:ascii="黑体" w:eastAsia="黑体" w:hint="eastAsia"/>
          <w:sz w:val="21"/>
        </w:rPr>
      </w:pPr>
      <w:bookmarkStart w:name="A.8.2 应急准备和响应" w:id="245"/>
      <w:bookmarkEnd w:id="245"/>
      <w:r>
        <w:rPr/>
      </w:r>
      <w:bookmarkStart w:name="A.8.2 应急准备和响应" w:id="246"/>
      <w:bookmarkEnd w:id="246"/>
      <w:r>
        <w:rPr>
          <w:rFonts w:ascii="黑体" w:eastAsia="黑体" w:hint="eastAsia"/>
          <w:sz w:val="21"/>
        </w:rPr>
        <w:t>应急准备和响应</w:t>
      </w:r>
    </w:p>
    <w:p>
      <w:pPr>
        <w:pStyle w:val="BodyText"/>
        <w:ind w:left="698"/>
      </w:pPr>
      <w:r>
        <w:rPr/>
        <w:t>应急准备策划可包括正常工作时间内外发生的自然的、技术的和人为的事件。</w:t>
      </w:r>
    </w:p>
    <w:p>
      <w:pPr>
        <w:pStyle w:val="BodyText"/>
        <w:spacing w:before="7"/>
        <w:rPr>
          <w:sz w:val="15"/>
        </w:rPr>
      </w:pPr>
    </w:p>
    <w:p>
      <w:pPr>
        <w:pStyle w:val="ListParagraph"/>
        <w:numPr>
          <w:ilvl w:val="1"/>
          <w:numId w:val="49"/>
        </w:numPr>
        <w:tabs>
          <w:tab w:pos="699" w:val="left" w:leader="none"/>
        </w:tabs>
        <w:spacing w:line="240" w:lineRule="auto" w:before="0" w:after="0"/>
        <w:ind w:left="698" w:right="0" w:hanging="421"/>
        <w:jc w:val="left"/>
        <w:rPr>
          <w:rFonts w:ascii="黑体" w:eastAsia="黑体" w:hint="eastAsia"/>
          <w:sz w:val="21"/>
        </w:rPr>
      </w:pPr>
      <w:bookmarkStart w:name="A.9 绩效评价" w:id="247"/>
      <w:bookmarkEnd w:id="247"/>
      <w:r>
        <w:rPr/>
      </w:r>
      <w:bookmarkStart w:name="A.9 绩效评价" w:id="248"/>
      <w:bookmarkEnd w:id="248"/>
      <w:r>
        <w:rPr>
          <w:rFonts w:ascii="黑体" w:eastAsia="黑体" w:hint="eastAsia"/>
          <w:sz w:val="21"/>
        </w:rPr>
        <w:t>绩效评价</w:t>
      </w:r>
    </w:p>
    <w:p>
      <w:pPr>
        <w:pStyle w:val="BodyText"/>
        <w:spacing w:before="6"/>
        <w:rPr>
          <w:rFonts w:ascii="黑体"/>
          <w:sz w:val="15"/>
        </w:rPr>
      </w:pPr>
    </w:p>
    <w:p>
      <w:pPr>
        <w:pStyle w:val="ListParagraph"/>
        <w:numPr>
          <w:ilvl w:val="2"/>
          <w:numId w:val="60"/>
        </w:numPr>
        <w:tabs>
          <w:tab w:pos="804" w:val="left" w:leader="none"/>
        </w:tabs>
        <w:spacing w:line="278" w:lineRule="auto" w:before="0" w:after="0"/>
        <w:ind w:left="278" w:right="6492" w:firstLine="0"/>
        <w:jc w:val="left"/>
        <w:rPr>
          <w:rFonts w:ascii="黑体" w:eastAsia="黑体" w:hint="eastAsia"/>
          <w:sz w:val="21"/>
        </w:rPr>
      </w:pPr>
      <w:bookmarkStart w:name="A.9.1监视、测量、分析和评价绩效" w:id="249"/>
      <w:bookmarkEnd w:id="249"/>
      <w:r>
        <w:rPr/>
      </w:r>
      <w:bookmarkStart w:name="A.9.1监视、测量、分析和评价绩效" w:id="250"/>
      <w:bookmarkEnd w:id="250"/>
      <w:r>
        <w:rPr>
          <w:rFonts w:ascii="黑体" w:eastAsia="黑体" w:hint="eastAsia"/>
          <w:spacing w:val="-1"/>
          <w:sz w:val="21"/>
        </w:rPr>
        <w:t>监视、测量、分析和评价绩效</w:t>
      </w:r>
      <w:bookmarkStart w:name="A 9.1.1总则" w:id="251"/>
      <w:bookmarkEnd w:id="251"/>
      <w:r>
        <w:rPr>
          <w:rFonts w:ascii="黑体" w:eastAsia="黑体" w:hint="eastAsia"/>
          <w:spacing w:val="-1"/>
          <w:sz w:val="21"/>
        </w:rPr>
      </w:r>
      <w:r>
        <w:rPr>
          <w:rFonts w:ascii="黑体" w:eastAsia="黑体" w:hint="eastAsia"/>
          <w:sz w:val="21"/>
        </w:rPr>
        <w:t>A</w:t>
      </w:r>
      <w:r>
        <w:rPr>
          <w:rFonts w:ascii="黑体" w:eastAsia="黑体" w:hint="eastAsia"/>
          <w:spacing w:val="-2"/>
          <w:sz w:val="21"/>
        </w:rPr>
        <w:t> </w:t>
      </w:r>
      <w:r>
        <w:rPr>
          <w:rFonts w:ascii="黑体" w:eastAsia="黑体" w:hint="eastAsia"/>
          <w:sz w:val="21"/>
        </w:rPr>
        <w:t>9.1.1总则</w:t>
      </w:r>
    </w:p>
    <w:p>
      <w:pPr>
        <w:pStyle w:val="BodyText"/>
        <w:spacing w:line="269" w:lineRule="exact" w:before="0"/>
        <w:ind w:left="698"/>
      </w:pPr>
      <w:r>
        <w:rPr/>
        <w:t>为了实现职业健康安全管理体系的预期结果，过程宜予以监视、测量和分析：</w:t>
      </w:r>
    </w:p>
    <w:p>
      <w:pPr>
        <w:pStyle w:val="ListParagraph"/>
        <w:numPr>
          <w:ilvl w:val="3"/>
          <w:numId w:val="60"/>
        </w:numPr>
        <w:tabs>
          <w:tab w:pos="1059" w:val="left" w:leader="none"/>
        </w:tabs>
        <w:spacing w:line="240" w:lineRule="auto" w:before="43" w:after="0"/>
        <w:ind w:left="1058" w:right="0" w:hanging="361"/>
        <w:jc w:val="left"/>
        <w:rPr>
          <w:sz w:val="21"/>
        </w:rPr>
      </w:pPr>
      <w:r>
        <w:rPr>
          <w:sz w:val="21"/>
        </w:rPr>
        <w:t>监视和测量内容的示例可包括（但不限于）：</w:t>
      </w:r>
    </w:p>
    <w:p>
      <w:pPr>
        <w:pStyle w:val="ListParagraph"/>
        <w:numPr>
          <w:ilvl w:val="4"/>
          <w:numId w:val="60"/>
        </w:numPr>
        <w:tabs>
          <w:tab w:pos="1479" w:val="left" w:leader="none"/>
        </w:tabs>
        <w:spacing w:line="240" w:lineRule="auto" w:before="43" w:after="0"/>
        <w:ind w:left="1478" w:right="0" w:hanging="361"/>
        <w:jc w:val="left"/>
        <w:rPr>
          <w:sz w:val="21"/>
        </w:rPr>
      </w:pPr>
      <w:r>
        <w:rPr>
          <w:sz w:val="21"/>
        </w:rPr>
        <w:t>职业健康抱怨、工作人员的健康（通过监护）和工作环境；</w:t>
      </w:r>
    </w:p>
    <w:p>
      <w:pPr>
        <w:pStyle w:val="ListParagraph"/>
        <w:numPr>
          <w:ilvl w:val="4"/>
          <w:numId w:val="60"/>
        </w:numPr>
        <w:tabs>
          <w:tab w:pos="1479" w:val="left" w:leader="none"/>
        </w:tabs>
        <w:spacing w:line="240" w:lineRule="auto" w:before="43" w:after="0"/>
        <w:ind w:left="1478" w:right="0" w:hanging="361"/>
        <w:jc w:val="left"/>
        <w:rPr>
          <w:sz w:val="21"/>
        </w:rPr>
      </w:pPr>
      <w:r>
        <w:rPr>
          <w:sz w:val="21"/>
        </w:rPr>
        <w:t>与工作相关的事件、伤害和健康损害，以及抱怨，包括其趋势；</w:t>
      </w:r>
    </w:p>
    <w:p>
      <w:pPr>
        <w:pStyle w:val="ListParagraph"/>
        <w:numPr>
          <w:ilvl w:val="4"/>
          <w:numId w:val="60"/>
        </w:numPr>
        <w:tabs>
          <w:tab w:pos="1479" w:val="left" w:leader="none"/>
        </w:tabs>
        <w:spacing w:line="240" w:lineRule="auto" w:before="43" w:after="0"/>
        <w:ind w:left="1478" w:right="0" w:hanging="361"/>
        <w:jc w:val="left"/>
        <w:rPr>
          <w:sz w:val="21"/>
        </w:rPr>
      </w:pPr>
      <w:r>
        <w:rPr>
          <w:sz w:val="21"/>
        </w:rPr>
        <w:t>运行控制和应急演练的有效性，或者更改现有控制或引入新的控制的需求；</w:t>
      </w:r>
    </w:p>
    <w:p>
      <w:pPr>
        <w:pStyle w:val="ListParagraph"/>
        <w:numPr>
          <w:ilvl w:val="4"/>
          <w:numId w:val="60"/>
        </w:numPr>
        <w:tabs>
          <w:tab w:pos="1479" w:val="left" w:leader="none"/>
        </w:tabs>
        <w:spacing w:line="240" w:lineRule="auto" w:before="43" w:after="0"/>
        <w:ind w:left="1478" w:right="0" w:hanging="361"/>
        <w:jc w:val="left"/>
        <w:rPr>
          <w:sz w:val="21"/>
        </w:rPr>
      </w:pPr>
      <w:r>
        <w:rPr>
          <w:sz w:val="21"/>
        </w:rPr>
        <w:t>能力。</w:t>
      </w:r>
    </w:p>
    <w:p>
      <w:pPr>
        <w:pStyle w:val="ListParagraph"/>
        <w:numPr>
          <w:ilvl w:val="3"/>
          <w:numId w:val="60"/>
        </w:numPr>
        <w:tabs>
          <w:tab w:pos="1059" w:val="left" w:leader="none"/>
        </w:tabs>
        <w:spacing w:line="240" w:lineRule="auto" w:before="43" w:after="0"/>
        <w:ind w:left="1058" w:right="0" w:hanging="361"/>
        <w:jc w:val="left"/>
        <w:rPr>
          <w:sz w:val="21"/>
        </w:rPr>
      </w:pPr>
      <w:r>
        <w:rPr>
          <w:sz w:val="21"/>
        </w:rPr>
        <w:t>为了评价法律法规要求的满足情况，监视和测量内容的示例可包括（但不限于）：</w:t>
      </w:r>
    </w:p>
    <w:p>
      <w:pPr>
        <w:pStyle w:val="ListParagraph"/>
        <w:numPr>
          <w:ilvl w:val="4"/>
          <w:numId w:val="60"/>
        </w:numPr>
        <w:tabs>
          <w:tab w:pos="1479" w:val="left" w:leader="none"/>
        </w:tabs>
        <w:spacing w:line="278" w:lineRule="auto" w:before="43" w:after="0"/>
        <w:ind w:left="1478" w:right="506" w:hanging="360"/>
        <w:jc w:val="left"/>
        <w:rPr>
          <w:sz w:val="21"/>
        </w:rPr>
      </w:pPr>
      <w:r>
        <w:rPr>
          <w:sz w:val="21"/>
        </w:rPr>
        <w:t>已识别的法律法规要求（例如：所有法律法规要求是否已确定；组织有关法律法规要求</w:t>
      </w:r>
      <w:r>
        <w:rPr>
          <w:spacing w:val="-1"/>
          <w:w w:val="99"/>
          <w:sz w:val="21"/>
        </w:rPr>
        <w:t>的文件化信息是否保持最新</w:t>
      </w:r>
      <w:r>
        <w:rPr>
          <w:spacing w:val="-104"/>
          <w:w w:val="99"/>
          <w:sz w:val="21"/>
        </w:rPr>
        <w:t>）</w:t>
      </w:r>
      <w:r>
        <w:rPr>
          <w:w w:val="99"/>
          <w:sz w:val="21"/>
        </w:rPr>
        <w:t>；</w:t>
      </w:r>
    </w:p>
    <w:p>
      <w:pPr>
        <w:pStyle w:val="ListParagraph"/>
        <w:numPr>
          <w:ilvl w:val="4"/>
          <w:numId w:val="60"/>
        </w:numPr>
        <w:tabs>
          <w:tab w:pos="1479" w:val="left" w:leader="none"/>
        </w:tabs>
        <w:spacing w:line="269" w:lineRule="exact" w:before="0" w:after="0"/>
        <w:ind w:left="1478" w:right="0" w:hanging="361"/>
        <w:jc w:val="left"/>
        <w:rPr>
          <w:sz w:val="21"/>
        </w:rPr>
      </w:pPr>
      <w:r>
        <w:rPr>
          <w:spacing w:val="-1"/>
          <w:w w:val="99"/>
          <w:sz w:val="21"/>
        </w:rPr>
        <w:t>集体协议（当具有法律约束力时</w:t>
      </w:r>
      <w:r>
        <w:rPr>
          <w:spacing w:val="-104"/>
          <w:w w:val="99"/>
          <w:sz w:val="21"/>
        </w:rPr>
        <w:t>）</w:t>
      </w:r>
      <w:r>
        <w:rPr>
          <w:w w:val="99"/>
          <w:sz w:val="21"/>
        </w:rPr>
        <w:t>；</w:t>
      </w:r>
    </w:p>
    <w:p>
      <w:pPr>
        <w:spacing w:after="0" w:line="269" w:lineRule="exact"/>
        <w:jc w:val="left"/>
        <w:rPr>
          <w:sz w:val="21"/>
        </w:rPr>
        <w:sectPr>
          <w:pgSz w:w="11910" w:h="16840"/>
          <w:pgMar w:header="1442" w:footer="850" w:top="1660" w:bottom="1040" w:left="1140" w:right="740"/>
        </w:sectPr>
      </w:pPr>
    </w:p>
    <w:p>
      <w:pPr>
        <w:pStyle w:val="ListParagraph"/>
        <w:numPr>
          <w:ilvl w:val="4"/>
          <w:numId w:val="60"/>
        </w:numPr>
        <w:tabs>
          <w:tab w:pos="1479" w:val="left" w:leader="none"/>
        </w:tabs>
        <w:spacing w:line="240" w:lineRule="auto" w:before="157" w:after="0"/>
        <w:ind w:left="1478" w:right="0" w:hanging="361"/>
        <w:jc w:val="left"/>
        <w:rPr>
          <w:sz w:val="21"/>
        </w:rPr>
      </w:pPr>
      <w:r>
        <w:rPr>
          <w:sz w:val="21"/>
        </w:rPr>
        <w:t>已识别的合规差距的状况。</w:t>
      </w:r>
    </w:p>
    <w:p>
      <w:pPr>
        <w:pStyle w:val="ListParagraph"/>
        <w:numPr>
          <w:ilvl w:val="3"/>
          <w:numId w:val="60"/>
        </w:numPr>
        <w:tabs>
          <w:tab w:pos="1059" w:val="left" w:leader="none"/>
        </w:tabs>
        <w:spacing w:line="240" w:lineRule="auto" w:before="43" w:after="0"/>
        <w:ind w:left="1058" w:right="0" w:hanging="361"/>
        <w:jc w:val="left"/>
        <w:rPr>
          <w:sz w:val="21"/>
        </w:rPr>
      </w:pPr>
      <w:r>
        <w:rPr>
          <w:sz w:val="21"/>
        </w:rPr>
        <w:t>为了评价其他要求的满足情况，监视和测量内容的示例可包括（但不限于）：</w:t>
      </w:r>
    </w:p>
    <w:p>
      <w:pPr>
        <w:pStyle w:val="ListParagraph"/>
        <w:numPr>
          <w:ilvl w:val="4"/>
          <w:numId w:val="60"/>
        </w:numPr>
        <w:tabs>
          <w:tab w:pos="1479" w:val="left" w:leader="none"/>
        </w:tabs>
        <w:spacing w:line="240" w:lineRule="auto" w:before="43" w:after="0"/>
        <w:ind w:left="1478" w:right="0" w:hanging="361"/>
        <w:jc w:val="left"/>
        <w:rPr>
          <w:sz w:val="21"/>
        </w:rPr>
      </w:pPr>
      <w:r>
        <w:rPr>
          <w:spacing w:val="-1"/>
          <w:w w:val="99"/>
          <w:sz w:val="21"/>
        </w:rPr>
        <w:t>集体协议（当不具有法律约束力时</w:t>
      </w:r>
      <w:r>
        <w:rPr>
          <w:spacing w:val="-104"/>
          <w:w w:val="99"/>
          <w:sz w:val="21"/>
        </w:rPr>
        <w:t>）</w:t>
      </w:r>
      <w:r>
        <w:rPr>
          <w:w w:val="99"/>
          <w:sz w:val="21"/>
        </w:rPr>
        <w:t>；</w:t>
      </w:r>
    </w:p>
    <w:p>
      <w:pPr>
        <w:pStyle w:val="ListParagraph"/>
        <w:numPr>
          <w:ilvl w:val="4"/>
          <w:numId w:val="60"/>
        </w:numPr>
        <w:tabs>
          <w:tab w:pos="1479" w:val="left" w:leader="none"/>
        </w:tabs>
        <w:spacing w:line="240" w:lineRule="auto" w:before="43" w:after="0"/>
        <w:ind w:left="1478" w:right="0" w:hanging="361"/>
        <w:jc w:val="left"/>
        <w:rPr>
          <w:sz w:val="21"/>
        </w:rPr>
      </w:pPr>
      <w:r>
        <w:rPr>
          <w:sz w:val="21"/>
        </w:rPr>
        <w:t>标准和准则；</w:t>
      </w:r>
    </w:p>
    <w:p>
      <w:pPr>
        <w:pStyle w:val="ListParagraph"/>
        <w:numPr>
          <w:ilvl w:val="4"/>
          <w:numId w:val="60"/>
        </w:numPr>
        <w:tabs>
          <w:tab w:pos="1479" w:val="left" w:leader="none"/>
        </w:tabs>
        <w:spacing w:line="240" w:lineRule="auto" w:before="43" w:after="0"/>
        <w:ind w:left="1478" w:right="0" w:hanging="361"/>
        <w:jc w:val="left"/>
        <w:rPr>
          <w:sz w:val="21"/>
        </w:rPr>
      </w:pPr>
      <w:r>
        <w:rPr>
          <w:sz w:val="21"/>
        </w:rPr>
        <w:t>公司的和其他的方针、规则和制度；</w:t>
      </w:r>
    </w:p>
    <w:p>
      <w:pPr>
        <w:pStyle w:val="ListParagraph"/>
        <w:numPr>
          <w:ilvl w:val="4"/>
          <w:numId w:val="60"/>
        </w:numPr>
        <w:tabs>
          <w:tab w:pos="1479" w:val="left" w:leader="none"/>
        </w:tabs>
        <w:spacing w:line="240" w:lineRule="auto" w:before="43" w:after="0"/>
        <w:ind w:left="1478" w:right="0" w:hanging="361"/>
        <w:jc w:val="left"/>
        <w:rPr>
          <w:sz w:val="21"/>
        </w:rPr>
      </w:pPr>
      <w:r>
        <w:rPr>
          <w:sz w:val="21"/>
        </w:rPr>
        <w:t>保险要求；</w:t>
      </w:r>
    </w:p>
    <w:p>
      <w:pPr>
        <w:pStyle w:val="ListParagraph"/>
        <w:numPr>
          <w:ilvl w:val="3"/>
          <w:numId w:val="60"/>
        </w:numPr>
        <w:tabs>
          <w:tab w:pos="1059" w:val="left" w:leader="none"/>
        </w:tabs>
        <w:spacing w:line="240" w:lineRule="auto" w:before="43" w:after="0"/>
        <w:ind w:left="1058" w:right="0" w:hanging="361"/>
        <w:jc w:val="left"/>
        <w:rPr>
          <w:sz w:val="21"/>
        </w:rPr>
      </w:pPr>
      <w:r>
        <w:rPr>
          <w:sz w:val="21"/>
        </w:rPr>
        <w:t>准则是组织可用于比较其绩效的参照：</w:t>
      </w:r>
    </w:p>
    <w:p>
      <w:pPr>
        <w:pStyle w:val="ListParagraph"/>
        <w:numPr>
          <w:ilvl w:val="4"/>
          <w:numId w:val="60"/>
        </w:numPr>
        <w:tabs>
          <w:tab w:pos="1479" w:val="left" w:leader="none"/>
        </w:tabs>
        <w:spacing w:line="240" w:lineRule="auto" w:before="43" w:after="0"/>
        <w:ind w:left="1478" w:right="0" w:hanging="361"/>
        <w:jc w:val="left"/>
        <w:rPr>
          <w:sz w:val="21"/>
        </w:rPr>
      </w:pPr>
      <w:r>
        <w:rPr>
          <w:sz w:val="21"/>
        </w:rPr>
        <w:t>基准示例：</w:t>
      </w:r>
    </w:p>
    <w:p>
      <w:pPr>
        <w:pStyle w:val="BodyText"/>
        <w:ind w:left="1552"/>
      </w:pPr>
      <w:r>
        <w:rPr>
          <w:rFonts w:ascii="Times New Roman" w:eastAsia="Times New Roman"/>
        </w:rPr>
        <w:t>i )  </w:t>
      </w:r>
      <w:r>
        <w:rPr/>
        <w:t>其他组织；</w:t>
      </w:r>
    </w:p>
    <w:p>
      <w:pPr>
        <w:pStyle w:val="ListParagraph"/>
        <w:numPr>
          <w:ilvl w:val="0"/>
          <w:numId w:val="61"/>
        </w:numPr>
        <w:tabs>
          <w:tab w:pos="1844" w:val="left" w:leader="none"/>
        </w:tabs>
        <w:spacing w:line="240" w:lineRule="auto" w:before="43" w:after="0"/>
        <w:ind w:left="1843" w:right="0" w:hanging="292"/>
        <w:jc w:val="left"/>
        <w:rPr>
          <w:sz w:val="21"/>
        </w:rPr>
      </w:pPr>
      <w:r>
        <w:rPr>
          <w:sz w:val="21"/>
        </w:rPr>
        <w:t>标准和规范；</w:t>
      </w:r>
    </w:p>
    <w:p>
      <w:pPr>
        <w:pStyle w:val="ListParagraph"/>
        <w:numPr>
          <w:ilvl w:val="0"/>
          <w:numId w:val="61"/>
        </w:numPr>
        <w:tabs>
          <w:tab w:pos="1901" w:val="left" w:leader="none"/>
        </w:tabs>
        <w:spacing w:line="240" w:lineRule="auto" w:before="43" w:after="0"/>
        <w:ind w:left="1900" w:right="0" w:hanging="349"/>
        <w:jc w:val="left"/>
        <w:rPr>
          <w:sz w:val="21"/>
        </w:rPr>
      </w:pPr>
      <w:r>
        <w:rPr>
          <w:w w:val="95"/>
          <w:sz w:val="21"/>
        </w:rPr>
        <w:t>组织自己的准则和目标；</w:t>
      </w:r>
    </w:p>
    <w:p>
      <w:pPr>
        <w:pStyle w:val="ListParagraph"/>
        <w:numPr>
          <w:ilvl w:val="0"/>
          <w:numId w:val="61"/>
        </w:numPr>
        <w:tabs>
          <w:tab w:pos="1892" w:val="left" w:leader="none"/>
        </w:tabs>
        <w:spacing w:line="240" w:lineRule="auto" w:before="43" w:after="0"/>
        <w:ind w:left="1891" w:right="0" w:hanging="340"/>
        <w:jc w:val="left"/>
        <w:rPr>
          <w:sz w:val="21"/>
        </w:rPr>
      </w:pPr>
      <w:r>
        <w:rPr>
          <w:w w:val="95"/>
          <w:sz w:val="21"/>
        </w:rPr>
        <w:t>职业健康安全统计数据；</w:t>
      </w:r>
    </w:p>
    <w:p>
      <w:pPr>
        <w:pStyle w:val="ListParagraph"/>
        <w:numPr>
          <w:ilvl w:val="4"/>
          <w:numId w:val="60"/>
        </w:numPr>
        <w:tabs>
          <w:tab w:pos="1479" w:val="left" w:leader="none"/>
        </w:tabs>
        <w:spacing w:line="240" w:lineRule="auto" w:before="43" w:after="0"/>
        <w:ind w:left="1478" w:right="0" w:hanging="361"/>
        <w:jc w:val="left"/>
        <w:rPr>
          <w:sz w:val="21"/>
        </w:rPr>
      </w:pPr>
      <w:r>
        <w:rPr>
          <w:sz w:val="21"/>
        </w:rPr>
        <w:t>对于测量准则，较为典型的是运用指标，例如：</w:t>
      </w:r>
    </w:p>
    <w:p>
      <w:pPr>
        <w:pStyle w:val="ListParagraph"/>
        <w:numPr>
          <w:ilvl w:val="5"/>
          <w:numId w:val="60"/>
        </w:numPr>
        <w:tabs>
          <w:tab w:pos="1959" w:val="left" w:leader="none"/>
        </w:tabs>
        <w:spacing w:line="278" w:lineRule="auto" w:before="42" w:after="0"/>
        <w:ind w:left="1980" w:right="403" w:hanging="428"/>
        <w:jc w:val="left"/>
        <w:rPr>
          <w:sz w:val="21"/>
        </w:rPr>
      </w:pPr>
      <w:r>
        <w:rPr>
          <w:spacing w:val="-6"/>
          <w:w w:val="95"/>
          <w:sz w:val="21"/>
        </w:rPr>
        <w:t>如果准则是对事件的比较，则组织可选择考虑事件的频率、类型、严重程度或数量；  </w:t>
      </w:r>
      <w:r>
        <w:rPr>
          <w:spacing w:val="-6"/>
          <w:sz w:val="21"/>
        </w:rPr>
        <w:t>此时，在每一项准则内，指标可以是确定的比率；</w:t>
      </w:r>
    </w:p>
    <w:p>
      <w:pPr>
        <w:pStyle w:val="ListParagraph"/>
        <w:numPr>
          <w:ilvl w:val="5"/>
          <w:numId w:val="60"/>
        </w:numPr>
        <w:tabs>
          <w:tab w:pos="1959" w:val="left" w:leader="none"/>
        </w:tabs>
        <w:spacing w:line="269" w:lineRule="exact" w:before="0" w:after="0"/>
        <w:ind w:left="1958" w:right="0" w:hanging="407"/>
        <w:jc w:val="left"/>
        <w:rPr>
          <w:sz w:val="21"/>
        </w:rPr>
      </w:pPr>
      <w:r>
        <w:rPr>
          <w:sz w:val="21"/>
        </w:rPr>
        <w:t>如果准则是对纠正措施完成情况的比较，则指标可以是按时完成的百分比。</w:t>
      </w:r>
    </w:p>
    <w:p>
      <w:pPr>
        <w:pStyle w:val="BodyText"/>
        <w:spacing w:line="278" w:lineRule="auto"/>
        <w:ind w:left="278" w:right="506" w:firstLine="420"/>
        <w:jc w:val="both"/>
      </w:pPr>
      <w:r>
        <w:rPr>
          <w:w w:val="95"/>
        </w:rPr>
        <w:t>监视可包含持续的检查、监督、严格观察或确定状态，以便识别所要求的或所期望的绩效水平的   变化。监视可适用于职业健康安全管理体系、过程或控制。示例包括访谈、对文件化信息的评审和对   </w:t>
      </w:r>
      <w:r>
        <w:rPr/>
        <w:t>正在执行的工作的观察。</w:t>
      </w:r>
    </w:p>
    <w:p>
      <w:pPr>
        <w:pStyle w:val="BodyText"/>
        <w:spacing w:line="278" w:lineRule="auto" w:before="0"/>
        <w:ind w:left="278" w:right="506" w:firstLine="420"/>
      </w:pPr>
      <w:r>
        <w:rPr>
          <w:w w:val="95"/>
        </w:rPr>
        <w:t>测量通常涉及为目标或事件赋值。它是定量数据的基础，并通常与安全方案和健康监护的绩效评   </w:t>
      </w:r>
      <w:r>
        <w:rPr/>
        <w:t>价有关。示例包括使用经校准或验证的设备来测量有害物质的暴露，或计算危险源安全距离。</w:t>
      </w:r>
    </w:p>
    <w:p>
      <w:pPr>
        <w:pStyle w:val="BodyText"/>
        <w:spacing w:line="278" w:lineRule="auto" w:before="0"/>
        <w:ind w:left="278" w:right="506" w:firstLine="420"/>
      </w:pPr>
      <w:r>
        <w:rPr>
          <w:w w:val="95"/>
        </w:rPr>
        <w:t>分析是检查数据以揭示关系、模式和趋势的过程。这可能意味着采用统计运算，包括使用来自其   </w:t>
      </w:r>
      <w:r>
        <w:rPr/>
        <w:t>他类似组织的信息，以有助于从数据中得出结论。该过程常常与测量活动相关。</w:t>
      </w:r>
    </w:p>
    <w:p>
      <w:pPr>
        <w:pStyle w:val="BodyText"/>
        <w:spacing w:line="278" w:lineRule="auto" w:before="0"/>
        <w:ind w:left="278" w:right="508" w:firstLine="420"/>
      </w:pPr>
      <w:r>
        <w:rPr>
          <w:w w:val="95"/>
        </w:rPr>
        <w:t>绩效评价是为确定主题事项在实现所制定的职业健康安全管理体系目标方面的适宜性、充分性和   </w:t>
      </w:r>
      <w:r>
        <w:rPr/>
        <w:t>有效性所开展的一项活动。</w:t>
      </w:r>
    </w:p>
    <w:p>
      <w:pPr>
        <w:pStyle w:val="BodyText"/>
        <w:spacing w:line="269" w:lineRule="exact" w:before="0"/>
        <w:ind w:left="278"/>
        <w:rPr>
          <w:rFonts w:ascii="黑体" w:eastAsia="黑体" w:hint="eastAsia"/>
        </w:rPr>
      </w:pPr>
      <w:bookmarkStart w:name="A.9.1.2 合规性评价" w:id="252"/>
      <w:bookmarkEnd w:id="252"/>
      <w:r>
        <w:rPr/>
      </w:r>
      <w:r>
        <w:rPr>
          <w:rFonts w:ascii="黑体" w:eastAsia="黑体" w:hint="eastAsia"/>
        </w:rPr>
        <w:t>A.9.1.2 合规性评价</w:t>
      </w:r>
    </w:p>
    <w:p>
      <w:pPr>
        <w:pStyle w:val="BodyText"/>
        <w:spacing w:line="278" w:lineRule="auto"/>
        <w:ind w:left="278" w:right="403" w:firstLine="420"/>
      </w:pPr>
      <w:r>
        <w:rPr/>
        <w:t>合规性评价的频次和时机可能会发生变化，这取决于要求的重要性、运行状况的变化、法律法规</w:t>
      </w:r>
      <w:r>
        <w:rPr>
          <w:w w:val="95"/>
        </w:rPr>
        <w:t>要求和其他要求的变化以及组织以往的业绩。组织可以使用多种方法保持对其合规状况的认识和理解。</w:t>
      </w:r>
    </w:p>
    <w:p>
      <w:pPr>
        <w:pStyle w:val="ListParagraph"/>
        <w:numPr>
          <w:ilvl w:val="2"/>
          <w:numId w:val="60"/>
        </w:numPr>
        <w:tabs>
          <w:tab w:pos="908" w:val="left" w:leader="none"/>
        </w:tabs>
        <w:spacing w:line="269" w:lineRule="exact" w:before="0" w:after="0"/>
        <w:ind w:left="907" w:right="0" w:hanging="630"/>
        <w:jc w:val="left"/>
        <w:rPr>
          <w:rFonts w:ascii="黑体" w:eastAsia="黑体" w:hint="eastAsia"/>
          <w:sz w:val="21"/>
        </w:rPr>
      </w:pPr>
      <w:bookmarkStart w:name="A.9.2 内部审核" w:id="253"/>
      <w:bookmarkEnd w:id="253"/>
      <w:r>
        <w:rPr/>
      </w:r>
      <w:bookmarkStart w:name="A.9.2 内部审核" w:id="254"/>
      <w:bookmarkEnd w:id="254"/>
      <w:r>
        <w:rPr>
          <w:rFonts w:ascii="黑体" w:eastAsia="黑体" w:hint="eastAsia"/>
          <w:sz w:val="21"/>
        </w:rPr>
        <w:t>内部审核</w:t>
      </w:r>
    </w:p>
    <w:p>
      <w:pPr>
        <w:pStyle w:val="BodyText"/>
        <w:ind w:left="698"/>
      </w:pPr>
      <w:r>
        <w:rPr/>
        <w:t>审核方案的详略程度宜基于职业健康安全管理体系的复杂性和成熟度水平。</w:t>
      </w:r>
    </w:p>
    <w:p>
      <w:pPr>
        <w:pStyle w:val="BodyText"/>
        <w:spacing w:line="278" w:lineRule="auto" w:before="42"/>
        <w:ind w:left="278" w:right="506" w:firstLine="420"/>
      </w:pPr>
      <w:r>
        <w:rPr>
          <w:w w:val="95"/>
        </w:rPr>
        <w:t>组织可通过创建过程将内部审核员的审核角色从其日常承担的职责中分离出来，或者使用外部人   </w:t>
      </w:r>
      <w:r>
        <w:rPr/>
        <w:t>员承担内部审核职能</w:t>
      </w:r>
      <w:r>
        <w:rPr>
          <w:rFonts w:ascii="Times New Roman" w:eastAsia="Times New Roman"/>
        </w:rPr>
        <w:t>, </w:t>
      </w:r>
      <w:r>
        <w:rPr/>
        <w:t>以建立内部审核的客观性和公正性。</w:t>
      </w:r>
    </w:p>
    <w:p>
      <w:pPr>
        <w:pStyle w:val="ListParagraph"/>
        <w:numPr>
          <w:ilvl w:val="2"/>
          <w:numId w:val="60"/>
        </w:numPr>
        <w:tabs>
          <w:tab w:pos="908" w:val="left" w:leader="none"/>
        </w:tabs>
        <w:spacing w:line="269" w:lineRule="exact" w:before="0" w:after="0"/>
        <w:ind w:left="907" w:right="0" w:hanging="630"/>
        <w:jc w:val="left"/>
        <w:rPr>
          <w:rFonts w:ascii="黑体" w:eastAsia="黑体" w:hint="eastAsia"/>
          <w:sz w:val="21"/>
        </w:rPr>
      </w:pPr>
      <w:bookmarkStart w:name="A.9.3 管理评审" w:id="255"/>
      <w:bookmarkEnd w:id="255"/>
      <w:r>
        <w:rPr/>
      </w:r>
      <w:bookmarkStart w:name="A.9.3 管理评审" w:id="256"/>
      <w:bookmarkEnd w:id="256"/>
      <w:r>
        <w:rPr>
          <w:rFonts w:ascii="黑体" w:eastAsia="黑体" w:hint="eastAsia"/>
          <w:sz w:val="21"/>
        </w:rPr>
        <w:t>管理评审</w:t>
      </w:r>
    </w:p>
    <w:p>
      <w:pPr>
        <w:pStyle w:val="BodyText"/>
        <w:ind w:left="698"/>
      </w:pPr>
      <w:r>
        <w:rPr/>
        <w:t>管理评审所用的有关术语应理解如下：</w:t>
      </w:r>
    </w:p>
    <w:p>
      <w:pPr>
        <w:pStyle w:val="ListParagraph"/>
        <w:numPr>
          <w:ilvl w:val="3"/>
          <w:numId w:val="60"/>
        </w:numPr>
        <w:tabs>
          <w:tab w:pos="1059" w:val="left" w:leader="none"/>
        </w:tabs>
        <w:spacing w:line="240" w:lineRule="auto" w:before="43" w:after="0"/>
        <w:ind w:left="1058" w:right="0" w:hanging="361"/>
        <w:jc w:val="left"/>
        <w:rPr>
          <w:sz w:val="21"/>
        </w:rPr>
      </w:pPr>
      <w:r>
        <w:rPr>
          <w:sz w:val="21"/>
        </w:rPr>
        <w:t>“适宜性”是指职业健康管理体系如何适合于组织、其运行、其文化及业务系统；</w:t>
      </w:r>
    </w:p>
    <w:p>
      <w:pPr>
        <w:pStyle w:val="ListParagraph"/>
        <w:numPr>
          <w:ilvl w:val="3"/>
          <w:numId w:val="60"/>
        </w:numPr>
        <w:tabs>
          <w:tab w:pos="1059" w:val="left" w:leader="none"/>
        </w:tabs>
        <w:spacing w:line="240" w:lineRule="auto" w:before="43" w:after="0"/>
        <w:ind w:left="1058" w:right="0" w:hanging="361"/>
        <w:jc w:val="left"/>
        <w:rPr>
          <w:sz w:val="21"/>
        </w:rPr>
      </w:pPr>
      <w:r>
        <w:rPr>
          <w:sz w:val="21"/>
        </w:rPr>
        <w:t>“充分性”是指职业健康安全管理体系是否得到恰当地实施；</w:t>
      </w:r>
    </w:p>
    <w:p>
      <w:pPr>
        <w:pStyle w:val="ListParagraph"/>
        <w:numPr>
          <w:ilvl w:val="3"/>
          <w:numId w:val="60"/>
        </w:numPr>
        <w:tabs>
          <w:tab w:pos="1059" w:val="left" w:leader="none"/>
        </w:tabs>
        <w:spacing w:line="240" w:lineRule="auto" w:before="43" w:after="0"/>
        <w:ind w:left="1058" w:right="0" w:hanging="361"/>
        <w:jc w:val="left"/>
        <w:rPr>
          <w:sz w:val="21"/>
        </w:rPr>
      </w:pPr>
      <w:r>
        <w:rPr>
          <w:sz w:val="21"/>
        </w:rPr>
        <w:t>“有效性”是指职业健康安全管理体系是否正在实现预期结果。</w:t>
      </w:r>
    </w:p>
    <w:p>
      <w:pPr>
        <w:pStyle w:val="BodyText"/>
        <w:spacing w:line="278" w:lineRule="auto"/>
        <w:ind w:left="278" w:right="504" w:firstLine="420"/>
      </w:pPr>
      <w:r>
        <w:rPr/>
        <w:t>组织不必一次性地完成对 </w:t>
      </w:r>
      <w:r>
        <w:rPr>
          <w:rFonts w:ascii="Times New Roman" w:eastAsia="Times New Roman"/>
        </w:rPr>
        <w:t>9.3 </w:t>
      </w:r>
      <w:r>
        <w:rPr/>
        <w:t>的 </w:t>
      </w:r>
      <w:r>
        <w:rPr>
          <w:rFonts w:ascii="Times New Roman" w:eastAsia="Times New Roman"/>
        </w:rPr>
        <w:t>a</w:t>
      </w:r>
      <w:r>
        <w:rPr/>
        <w:t>）至 </w:t>
      </w:r>
      <w:r>
        <w:rPr>
          <w:rFonts w:ascii="Times New Roman" w:eastAsia="Times New Roman"/>
        </w:rPr>
        <w:t>g</w:t>
      </w:r>
      <w:r>
        <w:rPr/>
        <w:t>）所列管理评审主题的全部评审，但宜确定何时和如何评审管理评审主题。</w:t>
      </w:r>
    </w:p>
    <w:p>
      <w:pPr>
        <w:pStyle w:val="ListParagraph"/>
        <w:numPr>
          <w:ilvl w:val="1"/>
          <w:numId w:val="49"/>
        </w:numPr>
        <w:tabs>
          <w:tab w:pos="804" w:val="left" w:leader="none"/>
        </w:tabs>
        <w:spacing w:line="240" w:lineRule="auto" w:before="156" w:after="0"/>
        <w:ind w:left="804" w:right="0" w:hanging="526"/>
        <w:jc w:val="left"/>
        <w:rPr>
          <w:rFonts w:ascii="黑体" w:eastAsia="黑体" w:hint="eastAsia"/>
          <w:sz w:val="21"/>
        </w:rPr>
      </w:pPr>
      <w:bookmarkStart w:name="A.10 改进" w:id="257"/>
      <w:bookmarkEnd w:id="257"/>
      <w:r>
        <w:rPr/>
      </w:r>
      <w:bookmarkStart w:name="A.10 改进" w:id="258"/>
      <w:bookmarkEnd w:id="258"/>
      <w:r>
        <w:rPr>
          <w:rFonts w:ascii="黑体" w:eastAsia="黑体" w:hint="eastAsia"/>
          <w:sz w:val="21"/>
        </w:rPr>
        <w:t>改进</w:t>
      </w:r>
    </w:p>
    <w:p>
      <w:pPr>
        <w:pStyle w:val="BodyText"/>
        <w:spacing w:before="6"/>
        <w:rPr>
          <w:rFonts w:ascii="黑体"/>
          <w:sz w:val="15"/>
        </w:rPr>
      </w:pPr>
    </w:p>
    <w:p>
      <w:pPr>
        <w:pStyle w:val="ListParagraph"/>
        <w:numPr>
          <w:ilvl w:val="2"/>
          <w:numId w:val="62"/>
        </w:numPr>
        <w:tabs>
          <w:tab w:pos="1013" w:val="left" w:leader="none"/>
        </w:tabs>
        <w:spacing w:line="240" w:lineRule="auto" w:before="1" w:after="0"/>
        <w:ind w:left="1012" w:right="0" w:hanging="735"/>
        <w:jc w:val="left"/>
        <w:rPr>
          <w:rFonts w:ascii="黑体" w:eastAsia="黑体" w:hint="eastAsia"/>
          <w:sz w:val="21"/>
        </w:rPr>
      </w:pPr>
      <w:bookmarkStart w:name="A.10.1 总则" w:id="259"/>
      <w:bookmarkEnd w:id="259"/>
      <w:r>
        <w:rPr/>
      </w:r>
      <w:bookmarkStart w:name="A.10.1 总则" w:id="260"/>
      <w:bookmarkEnd w:id="260"/>
      <w:r>
        <w:rPr>
          <w:rFonts w:ascii="黑体" w:eastAsia="黑体" w:hint="eastAsia"/>
          <w:sz w:val="21"/>
        </w:rPr>
        <w:t>总则</w:t>
      </w:r>
    </w:p>
    <w:p>
      <w:pPr>
        <w:pStyle w:val="BodyText"/>
        <w:spacing w:line="278" w:lineRule="auto"/>
        <w:ind w:left="278" w:right="506" w:firstLine="420"/>
      </w:pPr>
      <w:r>
        <w:rPr>
          <w:w w:val="95"/>
        </w:rPr>
        <w:t>在采取措施进行改进时，组织宜考虑来自于职业健康安全绩效的分析和评价、合规性评价、内部   </w:t>
      </w:r>
      <w:r>
        <w:rPr/>
        <w:t>审核和管理评审的结果。</w:t>
      </w:r>
    </w:p>
    <w:p>
      <w:pPr>
        <w:spacing w:after="0" w:line="278" w:lineRule="auto"/>
        <w:sectPr>
          <w:pgSz w:w="11910" w:h="16840"/>
          <w:pgMar w:header="1442" w:footer="850" w:top="1660" w:bottom="1040" w:left="1140" w:right="740"/>
        </w:sectPr>
      </w:pPr>
    </w:p>
    <w:p>
      <w:pPr>
        <w:pStyle w:val="BodyText"/>
        <w:spacing w:before="157"/>
        <w:ind w:left="698"/>
      </w:pPr>
      <w:bookmarkStart w:name="附录NA（资料性附录）本标准与GB/T 28001—2011之间的对应情况" w:id="261"/>
      <w:bookmarkEnd w:id="261"/>
      <w:r>
        <w:rPr/>
      </w:r>
      <w:r>
        <w:rPr/>
        <w:t>改进的示例包括纠正措施、持续改进、突破性变革、创新和重组。</w:t>
      </w:r>
    </w:p>
    <w:p>
      <w:pPr>
        <w:pStyle w:val="ListParagraph"/>
        <w:numPr>
          <w:ilvl w:val="2"/>
          <w:numId w:val="62"/>
        </w:numPr>
        <w:tabs>
          <w:tab w:pos="1118" w:val="left" w:leader="none"/>
          <w:tab w:pos="1119" w:val="left" w:leader="none"/>
        </w:tabs>
        <w:spacing w:line="240" w:lineRule="auto" w:before="43" w:after="0"/>
        <w:ind w:left="1118" w:right="0" w:hanging="841"/>
        <w:jc w:val="left"/>
        <w:rPr>
          <w:rFonts w:ascii="黑体" w:eastAsia="黑体" w:hint="eastAsia"/>
          <w:sz w:val="21"/>
        </w:rPr>
      </w:pPr>
      <w:bookmarkStart w:name="A.10.2事件、不符合和纠正措施" w:id="262"/>
      <w:bookmarkEnd w:id="262"/>
      <w:r>
        <w:rPr/>
      </w:r>
      <w:bookmarkStart w:name="A.10.2事件、不符合和纠正措施" w:id="263"/>
      <w:bookmarkEnd w:id="263"/>
      <w:r>
        <w:rPr>
          <w:rFonts w:ascii="黑体" w:eastAsia="黑体" w:hint="eastAsia"/>
          <w:sz w:val="21"/>
        </w:rPr>
        <w:t>事件、不符合和纠正措施</w:t>
      </w:r>
    </w:p>
    <w:p>
      <w:pPr>
        <w:pStyle w:val="BodyText"/>
        <w:spacing w:line="278" w:lineRule="auto"/>
        <w:ind w:left="698" w:right="1137"/>
      </w:pPr>
      <w:r>
        <w:rPr>
          <w:w w:val="95"/>
        </w:rPr>
        <w:t>事件调查和不符合评审可以是分开的过程，也可合并为一个过程，这取决于组织的要求。</w:t>
      </w:r>
      <w:r>
        <w:rPr>
          <w:spacing w:val="-1"/>
          <w:w w:val="99"/>
        </w:rPr>
        <w:t>事件、不符合和纠正措施的示例可包括</w:t>
      </w:r>
      <w:r>
        <w:rPr>
          <w:spacing w:val="2"/>
          <w:w w:val="99"/>
        </w:rPr>
        <w:t>（</w:t>
      </w:r>
      <w:r>
        <w:rPr>
          <w:spacing w:val="-1"/>
          <w:w w:val="99"/>
        </w:rPr>
        <w:t>但不限于</w:t>
      </w:r>
      <w:r>
        <w:rPr>
          <w:spacing w:val="-104"/>
          <w:w w:val="99"/>
        </w:rPr>
        <w:t>）</w:t>
      </w:r>
      <w:r>
        <w:rPr>
          <w:w w:val="99"/>
        </w:rPr>
        <w:t>：</w:t>
      </w:r>
    </w:p>
    <w:p>
      <w:pPr>
        <w:pStyle w:val="ListParagraph"/>
        <w:numPr>
          <w:ilvl w:val="3"/>
          <w:numId w:val="62"/>
        </w:numPr>
        <w:tabs>
          <w:tab w:pos="1059" w:val="left" w:leader="none"/>
        </w:tabs>
        <w:spacing w:line="278" w:lineRule="auto" w:before="0" w:after="0"/>
        <w:ind w:left="1058" w:right="506" w:hanging="360"/>
        <w:jc w:val="left"/>
        <w:rPr>
          <w:sz w:val="21"/>
        </w:rPr>
      </w:pPr>
      <w:r>
        <w:rPr>
          <w:sz w:val="21"/>
        </w:rPr>
        <w:t>事件：平地跌倒（无论有无损伤）；腿部骨折；石棉肺；听力损伤；可能导致职业健康安全风险的建筑物或车辆的损坏；</w:t>
      </w:r>
    </w:p>
    <w:p>
      <w:pPr>
        <w:pStyle w:val="ListParagraph"/>
        <w:numPr>
          <w:ilvl w:val="3"/>
          <w:numId w:val="62"/>
        </w:numPr>
        <w:tabs>
          <w:tab w:pos="1059" w:val="left" w:leader="none"/>
        </w:tabs>
        <w:spacing w:line="269" w:lineRule="exact" w:before="0" w:after="0"/>
        <w:ind w:left="1058" w:right="0" w:hanging="361"/>
        <w:jc w:val="left"/>
        <w:rPr>
          <w:sz w:val="21"/>
        </w:rPr>
      </w:pPr>
      <w:r>
        <w:rPr>
          <w:sz w:val="21"/>
        </w:rPr>
        <w:t>不符合：防护设备不能正常工作；未满足法律法规要求和其他要求；或未执行规定的程序；</w:t>
      </w:r>
    </w:p>
    <w:p>
      <w:pPr>
        <w:pStyle w:val="ListParagraph"/>
        <w:numPr>
          <w:ilvl w:val="3"/>
          <w:numId w:val="62"/>
        </w:numPr>
        <w:tabs>
          <w:tab w:pos="1059" w:val="left" w:leader="none"/>
        </w:tabs>
        <w:spacing w:line="278" w:lineRule="auto" w:before="43" w:after="0"/>
        <w:ind w:left="1058" w:right="506" w:hanging="360"/>
        <w:jc w:val="both"/>
        <w:rPr>
          <w:sz w:val="21"/>
        </w:rPr>
      </w:pPr>
      <w:r>
        <w:rPr>
          <w:spacing w:val="-3"/>
          <w:sz w:val="21"/>
        </w:rPr>
        <w:t>纠正措施 (如控制层级所示；见 </w:t>
      </w:r>
      <w:r>
        <w:rPr>
          <w:sz w:val="21"/>
        </w:rPr>
        <w:t>8.1.2</w:t>
      </w:r>
      <w:r>
        <w:rPr>
          <w:spacing w:val="-7"/>
          <w:sz w:val="21"/>
        </w:rPr>
        <w:t>) ： 消除危险源；用低危险性材料替代；重新设计或</w:t>
      </w:r>
      <w:r>
        <w:rPr>
          <w:spacing w:val="-4"/>
          <w:sz w:val="21"/>
        </w:rPr>
        <w:t>改造设备或工具；制定程序；提升受影响的工作人员的能力；改变使用频率；使用个人防护用品。</w:t>
      </w:r>
    </w:p>
    <w:p>
      <w:pPr>
        <w:pStyle w:val="BodyText"/>
        <w:spacing w:line="278" w:lineRule="auto" w:before="0"/>
        <w:ind w:left="278" w:right="506" w:firstLine="420"/>
        <w:jc w:val="both"/>
      </w:pPr>
      <w:r>
        <w:rPr>
          <w:w w:val="95"/>
        </w:rPr>
        <w:t>根本原因分析是指通过询问发生了什么、如何发生以及为何发生，来探索与一个事件或不符合有   </w:t>
      </w:r>
      <w:r>
        <w:rPr/>
        <w:t>关的所有可能因素的实践</w:t>
      </w:r>
      <w:r>
        <w:rPr>
          <w:rFonts w:ascii="Times New Roman" w:eastAsia="Times New Roman"/>
        </w:rPr>
        <w:t>, </w:t>
      </w:r>
      <w:r>
        <w:rPr/>
        <w:t>以便如何防止其再次发生而提供输入。</w:t>
      </w:r>
    </w:p>
    <w:p>
      <w:pPr>
        <w:pStyle w:val="BodyText"/>
        <w:spacing w:line="278" w:lineRule="auto" w:before="0"/>
        <w:ind w:left="278" w:right="506" w:firstLine="420"/>
        <w:jc w:val="both"/>
      </w:pPr>
      <w:r>
        <w:rPr/>
        <w:t>当确定事件或不符合的根本原因时</w:t>
      </w:r>
      <w:r>
        <w:rPr>
          <w:rFonts w:ascii="Times New Roman" w:eastAsia="Times New Roman"/>
        </w:rPr>
        <w:t>, </w:t>
      </w:r>
      <w:r>
        <w:rPr/>
        <w:t>组织宜使用与被分析的事件或不符合的性质相适宜的方法。根本原因分析的焦点是预防，该分析可以识别多个引起失效的因素</w:t>
      </w:r>
      <w:r>
        <w:rPr>
          <w:rFonts w:ascii="Times New Roman" w:eastAsia="Times New Roman"/>
        </w:rPr>
        <w:t>, </w:t>
      </w:r>
      <w:r>
        <w:rPr/>
        <w:t>包括与沟通、能力、疲劳、设备或程序有关的因素。</w:t>
      </w:r>
    </w:p>
    <w:p>
      <w:pPr>
        <w:pStyle w:val="BodyText"/>
        <w:spacing w:line="269" w:lineRule="exact" w:before="0"/>
        <w:ind w:left="698"/>
        <w:jc w:val="both"/>
      </w:pPr>
      <w:r>
        <w:rPr/>
        <w:t>纠正措施有效性的评审［见 </w:t>
      </w:r>
      <w:r>
        <w:rPr>
          <w:rFonts w:ascii="Times New Roman" w:eastAsia="Times New Roman"/>
        </w:rPr>
        <w:t>10.2 f)</w:t>
      </w:r>
      <w:r>
        <w:rPr/>
        <w:t>］是指对所实施的纠正措施充分控制根本原因的程度的评审。</w:t>
      </w:r>
    </w:p>
    <w:p>
      <w:pPr>
        <w:pStyle w:val="ListParagraph"/>
        <w:numPr>
          <w:ilvl w:val="2"/>
          <w:numId w:val="62"/>
        </w:numPr>
        <w:tabs>
          <w:tab w:pos="1013" w:val="left" w:leader="none"/>
        </w:tabs>
        <w:spacing w:line="240" w:lineRule="auto" w:before="42" w:after="0"/>
        <w:ind w:left="1012" w:right="0" w:hanging="735"/>
        <w:jc w:val="left"/>
        <w:rPr>
          <w:rFonts w:ascii="黑体" w:eastAsia="黑体" w:hint="eastAsia"/>
          <w:sz w:val="21"/>
        </w:rPr>
      </w:pPr>
      <w:bookmarkStart w:name="A.10.3 持续改进" w:id="264"/>
      <w:bookmarkEnd w:id="264"/>
      <w:r>
        <w:rPr/>
      </w:r>
      <w:bookmarkStart w:name="A.10.3 持续改进" w:id="265"/>
      <w:bookmarkEnd w:id="265"/>
      <w:r>
        <w:rPr>
          <w:rFonts w:ascii="黑体" w:eastAsia="黑体" w:hint="eastAsia"/>
          <w:sz w:val="21"/>
        </w:rPr>
        <w:t>持续改进</w:t>
      </w:r>
    </w:p>
    <w:p>
      <w:pPr>
        <w:pStyle w:val="BodyText"/>
        <w:ind w:left="698"/>
      </w:pPr>
      <w:r>
        <w:rPr>
          <w:spacing w:val="-1"/>
          <w:w w:val="99"/>
        </w:rPr>
        <w:t>持续改进议题的示例包括</w:t>
      </w:r>
      <w:r>
        <w:rPr>
          <w:spacing w:val="2"/>
          <w:w w:val="99"/>
        </w:rPr>
        <w:t>（</w:t>
      </w:r>
      <w:r>
        <w:rPr>
          <w:spacing w:val="-1"/>
          <w:w w:val="99"/>
        </w:rPr>
        <w:t>但不限于</w:t>
      </w:r>
      <w:r>
        <w:rPr>
          <w:spacing w:val="-104"/>
          <w:w w:val="99"/>
        </w:rPr>
        <w:t>）</w:t>
      </w:r>
      <w:r>
        <w:rPr>
          <w:w w:val="99"/>
        </w:rPr>
        <w:t>：</w:t>
      </w:r>
    </w:p>
    <w:p>
      <w:pPr>
        <w:pStyle w:val="ListParagraph"/>
        <w:numPr>
          <w:ilvl w:val="0"/>
          <w:numId w:val="63"/>
        </w:numPr>
        <w:tabs>
          <w:tab w:pos="1059" w:val="left" w:leader="none"/>
        </w:tabs>
        <w:spacing w:line="240" w:lineRule="auto" w:before="43" w:after="0"/>
        <w:ind w:left="1058" w:right="0" w:hanging="361"/>
        <w:jc w:val="left"/>
        <w:rPr>
          <w:sz w:val="21"/>
        </w:rPr>
      </w:pPr>
      <w:r>
        <w:rPr>
          <w:sz w:val="21"/>
        </w:rPr>
        <w:t>新技术；</w:t>
      </w:r>
    </w:p>
    <w:p>
      <w:pPr>
        <w:pStyle w:val="ListParagraph"/>
        <w:numPr>
          <w:ilvl w:val="0"/>
          <w:numId w:val="63"/>
        </w:numPr>
        <w:tabs>
          <w:tab w:pos="1059" w:val="left" w:leader="none"/>
        </w:tabs>
        <w:spacing w:line="240" w:lineRule="auto" w:before="43" w:after="0"/>
        <w:ind w:left="1058" w:right="0" w:hanging="361"/>
        <w:jc w:val="left"/>
        <w:rPr>
          <w:sz w:val="21"/>
        </w:rPr>
      </w:pPr>
      <w:r>
        <w:rPr>
          <w:sz w:val="21"/>
        </w:rPr>
        <w:t>组织内部和外部的良好实践；</w:t>
      </w:r>
    </w:p>
    <w:p>
      <w:pPr>
        <w:pStyle w:val="ListParagraph"/>
        <w:numPr>
          <w:ilvl w:val="0"/>
          <w:numId w:val="63"/>
        </w:numPr>
        <w:tabs>
          <w:tab w:pos="1059" w:val="left" w:leader="none"/>
        </w:tabs>
        <w:spacing w:line="240" w:lineRule="auto" w:before="43" w:after="0"/>
        <w:ind w:left="1058" w:right="0" w:hanging="361"/>
        <w:jc w:val="left"/>
        <w:rPr>
          <w:sz w:val="21"/>
        </w:rPr>
      </w:pPr>
      <w:r>
        <w:rPr>
          <w:sz w:val="21"/>
        </w:rPr>
        <w:t>相关方的意见和建议；</w:t>
      </w:r>
    </w:p>
    <w:p>
      <w:pPr>
        <w:pStyle w:val="ListParagraph"/>
        <w:numPr>
          <w:ilvl w:val="0"/>
          <w:numId w:val="63"/>
        </w:numPr>
        <w:tabs>
          <w:tab w:pos="1059" w:val="left" w:leader="none"/>
        </w:tabs>
        <w:spacing w:line="240" w:lineRule="auto" w:before="43" w:after="0"/>
        <w:ind w:left="1058" w:right="0" w:hanging="361"/>
        <w:jc w:val="left"/>
        <w:rPr>
          <w:sz w:val="21"/>
        </w:rPr>
      </w:pPr>
      <w:r>
        <w:rPr>
          <w:sz w:val="21"/>
        </w:rPr>
        <w:t>职业健康安全相关议题的新知识和新理解；</w:t>
      </w:r>
    </w:p>
    <w:p>
      <w:pPr>
        <w:pStyle w:val="ListParagraph"/>
        <w:numPr>
          <w:ilvl w:val="0"/>
          <w:numId w:val="63"/>
        </w:numPr>
        <w:tabs>
          <w:tab w:pos="1059" w:val="left" w:leader="none"/>
        </w:tabs>
        <w:spacing w:line="240" w:lineRule="auto" w:before="43" w:after="0"/>
        <w:ind w:left="1058" w:right="0" w:hanging="361"/>
        <w:jc w:val="left"/>
        <w:rPr>
          <w:sz w:val="21"/>
        </w:rPr>
      </w:pPr>
      <w:r>
        <w:rPr>
          <w:sz w:val="21"/>
        </w:rPr>
        <w:t>新的或改进的材料；</w:t>
      </w:r>
    </w:p>
    <w:p>
      <w:pPr>
        <w:pStyle w:val="ListParagraph"/>
        <w:numPr>
          <w:ilvl w:val="0"/>
          <w:numId w:val="63"/>
        </w:numPr>
        <w:tabs>
          <w:tab w:pos="1059" w:val="left" w:leader="none"/>
        </w:tabs>
        <w:spacing w:line="240" w:lineRule="auto" w:before="43" w:after="0"/>
        <w:ind w:left="1058" w:right="0" w:hanging="361"/>
        <w:jc w:val="left"/>
        <w:rPr>
          <w:sz w:val="21"/>
        </w:rPr>
      </w:pPr>
      <w:r>
        <w:rPr>
          <w:sz w:val="21"/>
        </w:rPr>
        <w:t>工作人员能力或技能的变化；</w:t>
      </w:r>
    </w:p>
    <w:p>
      <w:pPr>
        <w:pStyle w:val="ListParagraph"/>
        <w:numPr>
          <w:ilvl w:val="0"/>
          <w:numId w:val="63"/>
        </w:numPr>
        <w:tabs>
          <w:tab w:pos="1059" w:val="left" w:leader="none"/>
        </w:tabs>
        <w:spacing w:line="240" w:lineRule="auto" w:before="43" w:after="0"/>
        <w:ind w:left="1058" w:right="0" w:hanging="361"/>
        <w:jc w:val="left"/>
        <w:rPr>
          <w:sz w:val="21"/>
        </w:rPr>
      </w:pPr>
      <w:r>
        <w:rPr>
          <w:sz w:val="21"/>
        </w:rPr>
        <w:t>用更少的资源（如简化、精简等)实现绩效改进。</w:t>
      </w:r>
    </w:p>
    <w:p>
      <w:pPr>
        <w:spacing w:after="0" w:line="240" w:lineRule="auto"/>
        <w:jc w:val="left"/>
        <w:rPr>
          <w:sz w:val="21"/>
        </w:rPr>
        <w:sectPr>
          <w:pgSz w:w="11910" w:h="16840"/>
          <w:pgMar w:header="1442" w:footer="850" w:top="1660" w:bottom="1040" w:left="1140" w:right="740"/>
        </w:sectPr>
      </w:pPr>
    </w:p>
    <w:p>
      <w:pPr>
        <w:pStyle w:val="BodyText"/>
        <w:spacing w:before="0"/>
        <w:rPr>
          <w:sz w:val="20"/>
        </w:rPr>
      </w:pPr>
    </w:p>
    <w:p>
      <w:pPr>
        <w:pStyle w:val="BodyText"/>
        <w:spacing w:before="0"/>
        <w:rPr>
          <w:sz w:val="20"/>
        </w:rPr>
      </w:pPr>
    </w:p>
    <w:p>
      <w:pPr>
        <w:pStyle w:val="BodyText"/>
        <w:spacing w:before="11"/>
        <w:rPr>
          <w:sz w:val="16"/>
        </w:rPr>
      </w:pPr>
    </w:p>
    <w:p>
      <w:pPr>
        <w:pStyle w:val="BodyText"/>
        <w:spacing w:before="70"/>
        <w:ind w:left="2216" w:right="2445"/>
        <w:jc w:val="center"/>
        <w:rPr>
          <w:rFonts w:ascii="黑体" w:eastAsia="黑体" w:hint="eastAsia"/>
        </w:rPr>
      </w:pPr>
      <w:bookmarkStart w:name="_bookmark57" w:id="266"/>
      <w:bookmarkEnd w:id="266"/>
      <w:r>
        <w:rPr/>
      </w:r>
      <w:r>
        <w:rPr>
          <w:rFonts w:ascii="黑体" w:eastAsia="黑体" w:hint="eastAsia"/>
        </w:rPr>
        <w:t>附录 NA</w:t>
      </w:r>
    </w:p>
    <w:p>
      <w:pPr>
        <w:pStyle w:val="BodyText"/>
        <w:ind w:left="2217" w:right="2445"/>
        <w:jc w:val="center"/>
      </w:pPr>
      <w:r>
        <w:rPr/>
        <w:t>（资料性附录）</w:t>
      </w:r>
    </w:p>
    <w:p>
      <w:pPr>
        <w:pStyle w:val="BodyText"/>
        <w:spacing w:before="42"/>
        <w:ind w:left="2217" w:right="2445"/>
        <w:jc w:val="center"/>
        <w:rPr>
          <w:rFonts w:ascii="黑体" w:hAnsi="黑体" w:eastAsia="黑体" w:hint="eastAsia"/>
        </w:rPr>
      </w:pPr>
      <w:r>
        <w:rPr>
          <w:rFonts w:ascii="黑体" w:hAnsi="黑体" w:eastAsia="黑体" w:hint="eastAsia"/>
        </w:rPr>
        <w:t>本标准与 GB/T 28001</w:t>
      </w:r>
      <w:r>
        <w:rPr>
          <w:rFonts w:ascii="Times New Roman" w:hAnsi="Times New Roman" w:eastAsia="Times New Roman"/>
        </w:rPr>
        <w:t>—</w:t>
      </w:r>
      <w:r>
        <w:rPr>
          <w:rFonts w:ascii="黑体" w:hAnsi="黑体" w:eastAsia="黑体" w:hint="eastAsia"/>
        </w:rPr>
        <w:t>2011 之间的对应情况</w:t>
      </w:r>
    </w:p>
    <w:p>
      <w:pPr>
        <w:pStyle w:val="BodyText"/>
        <w:spacing w:before="12"/>
        <w:rPr>
          <w:rFonts w:ascii="黑体"/>
          <w:sz w:val="18"/>
        </w:rPr>
      </w:pPr>
    </w:p>
    <w:p>
      <w:pPr>
        <w:pStyle w:val="BodyText"/>
        <w:spacing w:line="278" w:lineRule="auto" w:before="0"/>
        <w:ind w:left="278" w:right="495" w:firstLine="420"/>
        <w:jc w:val="both"/>
      </w:pPr>
      <w:r>
        <w:rPr>
          <w:spacing w:val="-29"/>
        </w:rPr>
        <w:t>表 </w:t>
      </w:r>
      <w:r>
        <w:rPr>
          <w:rFonts w:ascii="Times New Roman" w:hAnsi="Times New Roman" w:eastAsia="Times New Roman"/>
        </w:rPr>
        <w:t>NA.1 </w:t>
      </w:r>
      <w:r>
        <w:rPr>
          <w:spacing w:val="-7"/>
        </w:rPr>
        <w:t>给出了本标准与 </w:t>
      </w:r>
      <w:r>
        <w:rPr>
          <w:rFonts w:ascii="Times New Roman" w:hAnsi="Times New Roman" w:eastAsia="Times New Roman"/>
        </w:rPr>
        <w:t>GB/T 28001</w:t>
      </w:r>
      <w:r>
        <w:rPr/>
        <w:t>—</w:t>
      </w:r>
      <w:r>
        <w:rPr>
          <w:rFonts w:ascii="Times New Roman" w:hAnsi="Times New Roman" w:eastAsia="Times New Roman"/>
        </w:rPr>
        <w:t>2011 </w:t>
      </w:r>
      <w:r>
        <w:rPr>
          <w:spacing w:val="-8"/>
        </w:rPr>
        <w:t>之间的对应情况，表 </w:t>
      </w:r>
      <w:r>
        <w:rPr>
          <w:rFonts w:ascii="Times New Roman" w:hAnsi="Times New Roman" w:eastAsia="Times New Roman"/>
        </w:rPr>
        <w:t>NA.2 </w:t>
      </w:r>
      <w:r>
        <w:rPr>
          <w:spacing w:val="-14"/>
        </w:rPr>
        <w:t>给出了 </w:t>
      </w:r>
      <w:r>
        <w:rPr>
          <w:rFonts w:ascii="Times New Roman" w:hAnsi="Times New Roman" w:eastAsia="Times New Roman"/>
        </w:rPr>
        <w:t>GB/T 28001</w:t>
      </w:r>
      <w:r>
        <w:rPr/>
        <w:t>—</w:t>
      </w:r>
      <w:r>
        <w:rPr>
          <w:rFonts w:ascii="Times New Roman" w:hAnsi="Times New Roman" w:eastAsia="Times New Roman"/>
        </w:rPr>
        <w:t>2011 </w:t>
      </w:r>
      <w:r>
        <w:rPr>
          <w:spacing w:val="-9"/>
        </w:rPr>
        <w:t>与本标准之间的对应情况。需注意的是，就同一议题而言，本标准与 </w:t>
      </w:r>
      <w:r>
        <w:rPr>
          <w:rFonts w:ascii="Times New Roman" w:hAnsi="Times New Roman" w:eastAsia="Times New Roman"/>
        </w:rPr>
        <w:t>GB/T 28001</w:t>
      </w:r>
      <w:r>
        <w:rPr/>
        <w:t>—</w:t>
      </w:r>
      <w:r>
        <w:rPr>
          <w:rFonts w:ascii="Times New Roman" w:hAnsi="Times New Roman" w:eastAsia="Times New Roman"/>
        </w:rPr>
        <w:t>2011 </w:t>
      </w:r>
      <w:r>
        <w:rPr/>
        <w:t>的要求之间可</w:t>
      </w:r>
      <w:r>
        <w:rPr>
          <w:spacing w:val="-6"/>
        </w:rPr>
        <w:t>能并非完全对应，表 </w:t>
      </w:r>
      <w:r>
        <w:rPr>
          <w:rFonts w:ascii="Times New Roman" w:hAnsi="Times New Roman" w:eastAsia="Times New Roman"/>
        </w:rPr>
        <w:t>NA.1 </w:t>
      </w:r>
      <w:r>
        <w:rPr>
          <w:spacing w:val="-17"/>
        </w:rPr>
        <w:t>和表 </w:t>
      </w:r>
      <w:r>
        <w:rPr>
          <w:rFonts w:ascii="Times New Roman" w:hAnsi="Times New Roman" w:eastAsia="Times New Roman"/>
        </w:rPr>
        <w:t>NA.2 </w:t>
      </w:r>
      <w:r>
        <w:rPr/>
        <w:t>中仅给出了最接近的对应章条。</w:t>
      </w:r>
    </w:p>
    <w:p>
      <w:pPr>
        <w:pStyle w:val="BodyText"/>
        <w:spacing w:line="269" w:lineRule="exact" w:before="0" w:after="22"/>
        <w:ind w:left="2215" w:right="2445"/>
        <w:jc w:val="center"/>
        <w:rPr>
          <w:rFonts w:ascii="黑体" w:eastAsia="黑体" w:hint="eastAsia"/>
        </w:rPr>
      </w:pPr>
      <w:r>
        <w:rPr>
          <w:rFonts w:ascii="黑体" w:eastAsia="黑体" w:hint="eastAsia"/>
        </w:rPr>
        <w:t>表 </w:t>
      </w:r>
      <w:bookmarkStart w:name="_bookmark58" w:id="267"/>
      <w:bookmarkEnd w:id="267"/>
      <w:r>
        <w:rPr>
          <w:rFonts w:ascii="黑体" w:eastAsia="黑体" w:hint="eastAsia"/>
        </w:rPr>
        <w:t>N</w:t>
      </w:r>
      <w:r>
        <w:rPr>
          <w:rFonts w:ascii="黑体" w:eastAsia="黑体" w:hint="eastAsia"/>
        </w:rPr>
        <w:t>A.1 本标准与 GB/T 28001-2011 之间的对应情况</w:t>
      </w: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4"/>
        <w:gridCol w:w="1135"/>
        <w:gridCol w:w="1135"/>
        <w:gridCol w:w="3651"/>
      </w:tblGrid>
      <w:tr>
        <w:trPr>
          <w:trHeight w:val="311" w:hRule="atLeast"/>
        </w:trPr>
        <w:tc>
          <w:tcPr>
            <w:tcW w:w="4819" w:type="dxa"/>
            <w:gridSpan w:val="2"/>
          </w:tcPr>
          <w:p>
            <w:pPr>
              <w:pStyle w:val="TableParagraph"/>
              <w:spacing w:before="21"/>
              <w:ind w:left="1569"/>
              <w:rPr>
                <w:rFonts w:ascii="Times New Roman" w:hAnsi="Times New Roman"/>
                <w:sz w:val="21"/>
              </w:rPr>
            </w:pPr>
            <w:r>
              <w:rPr>
                <w:rFonts w:ascii="Times New Roman" w:hAnsi="Times New Roman"/>
                <w:sz w:val="21"/>
              </w:rPr>
              <w:t>GB/T 45001</w:t>
            </w:r>
            <w:r>
              <w:rPr>
                <w:sz w:val="21"/>
              </w:rPr>
              <w:t>—</w:t>
            </w:r>
            <w:r>
              <w:rPr>
                <w:rFonts w:ascii="Times New Roman" w:hAnsi="Times New Roman"/>
                <w:sz w:val="21"/>
              </w:rPr>
              <w:t>2020</w:t>
            </w:r>
          </w:p>
        </w:tc>
        <w:tc>
          <w:tcPr>
            <w:tcW w:w="4786" w:type="dxa"/>
            <w:gridSpan w:val="2"/>
          </w:tcPr>
          <w:p>
            <w:pPr>
              <w:pStyle w:val="TableParagraph"/>
              <w:spacing w:before="34"/>
              <w:ind w:left="1555"/>
              <w:rPr>
                <w:rFonts w:ascii="Times New Roman" w:hAnsi="Times New Roman"/>
                <w:sz w:val="21"/>
              </w:rPr>
            </w:pPr>
            <w:r>
              <w:rPr>
                <w:rFonts w:ascii="Times New Roman" w:hAnsi="Times New Roman"/>
                <w:sz w:val="21"/>
              </w:rPr>
              <w:t>GB/T 28001—2011</w:t>
            </w:r>
          </w:p>
        </w:tc>
      </w:tr>
      <w:tr>
        <w:trPr>
          <w:trHeight w:val="312" w:hRule="atLeast"/>
        </w:trPr>
        <w:tc>
          <w:tcPr>
            <w:tcW w:w="3684" w:type="dxa"/>
          </w:tcPr>
          <w:p>
            <w:pPr>
              <w:pStyle w:val="TableParagraph"/>
              <w:spacing w:before="20"/>
              <w:ind w:left="1399" w:right="1394"/>
              <w:jc w:val="center"/>
              <w:rPr>
                <w:sz w:val="21"/>
              </w:rPr>
            </w:pPr>
            <w:r>
              <w:rPr>
                <w:sz w:val="21"/>
              </w:rPr>
              <w:t>章条标题</w:t>
            </w:r>
          </w:p>
        </w:tc>
        <w:tc>
          <w:tcPr>
            <w:tcW w:w="1135" w:type="dxa"/>
          </w:tcPr>
          <w:p>
            <w:pPr>
              <w:pStyle w:val="TableParagraph"/>
              <w:spacing w:before="20"/>
              <w:ind w:left="252"/>
              <w:rPr>
                <w:sz w:val="21"/>
              </w:rPr>
            </w:pPr>
            <w:r>
              <w:rPr>
                <w:sz w:val="21"/>
              </w:rPr>
              <w:t>章条号</w:t>
            </w:r>
          </w:p>
        </w:tc>
        <w:tc>
          <w:tcPr>
            <w:tcW w:w="1135" w:type="dxa"/>
          </w:tcPr>
          <w:p>
            <w:pPr>
              <w:pStyle w:val="TableParagraph"/>
              <w:spacing w:before="20"/>
              <w:ind w:left="252"/>
              <w:rPr>
                <w:sz w:val="21"/>
              </w:rPr>
            </w:pPr>
            <w:r>
              <w:rPr>
                <w:sz w:val="21"/>
              </w:rPr>
              <w:t>章条号</w:t>
            </w:r>
          </w:p>
        </w:tc>
        <w:tc>
          <w:tcPr>
            <w:tcW w:w="3651" w:type="dxa"/>
          </w:tcPr>
          <w:p>
            <w:pPr>
              <w:pStyle w:val="TableParagraph"/>
              <w:spacing w:before="20"/>
              <w:ind w:left="1383" w:right="1378"/>
              <w:jc w:val="center"/>
              <w:rPr>
                <w:sz w:val="21"/>
              </w:rPr>
            </w:pPr>
            <w:r>
              <w:rPr>
                <w:sz w:val="21"/>
              </w:rPr>
              <w:t>章条标题</w:t>
            </w:r>
          </w:p>
        </w:tc>
      </w:tr>
      <w:tr>
        <w:trPr>
          <w:trHeight w:val="312" w:hRule="atLeast"/>
        </w:trPr>
        <w:tc>
          <w:tcPr>
            <w:tcW w:w="3684" w:type="dxa"/>
          </w:tcPr>
          <w:p>
            <w:pPr>
              <w:pStyle w:val="TableParagraph"/>
              <w:spacing w:before="20"/>
              <w:rPr>
                <w:sz w:val="21"/>
              </w:rPr>
            </w:pPr>
            <w:r>
              <w:rPr>
                <w:sz w:val="21"/>
              </w:rPr>
              <w:t>前言</w:t>
            </w:r>
          </w:p>
        </w:tc>
        <w:tc>
          <w:tcPr>
            <w:tcW w:w="1135" w:type="dxa"/>
          </w:tcPr>
          <w:p>
            <w:pPr>
              <w:pStyle w:val="TableParagraph"/>
              <w:spacing w:before="20"/>
              <w:ind w:left="357"/>
              <w:rPr>
                <w:sz w:val="21"/>
              </w:rPr>
            </w:pPr>
            <w:r>
              <w:rPr>
                <w:sz w:val="21"/>
              </w:rPr>
              <w:t>——</w:t>
            </w:r>
          </w:p>
        </w:tc>
        <w:tc>
          <w:tcPr>
            <w:tcW w:w="1135" w:type="dxa"/>
          </w:tcPr>
          <w:p>
            <w:pPr>
              <w:pStyle w:val="TableParagraph"/>
              <w:spacing w:before="20"/>
              <w:ind w:left="355"/>
              <w:rPr>
                <w:sz w:val="21"/>
              </w:rPr>
            </w:pPr>
            <w:r>
              <w:rPr>
                <w:sz w:val="21"/>
              </w:rPr>
              <w:t>——</w:t>
            </w:r>
          </w:p>
        </w:tc>
        <w:tc>
          <w:tcPr>
            <w:tcW w:w="3651" w:type="dxa"/>
          </w:tcPr>
          <w:p>
            <w:pPr>
              <w:pStyle w:val="TableParagraph"/>
              <w:spacing w:before="20"/>
              <w:rPr>
                <w:sz w:val="21"/>
              </w:rPr>
            </w:pPr>
            <w:r>
              <w:rPr>
                <w:sz w:val="21"/>
              </w:rPr>
              <w:t>前言</w:t>
            </w:r>
          </w:p>
        </w:tc>
      </w:tr>
      <w:tr>
        <w:trPr>
          <w:trHeight w:val="311" w:hRule="atLeast"/>
        </w:trPr>
        <w:tc>
          <w:tcPr>
            <w:tcW w:w="3684" w:type="dxa"/>
          </w:tcPr>
          <w:p>
            <w:pPr>
              <w:pStyle w:val="TableParagraph"/>
              <w:spacing w:before="22"/>
              <w:rPr>
                <w:sz w:val="21"/>
              </w:rPr>
            </w:pPr>
            <w:r>
              <w:rPr>
                <w:sz w:val="21"/>
              </w:rPr>
              <w:t>引言</w:t>
            </w:r>
          </w:p>
        </w:tc>
        <w:tc>
          <w:tcPr>
            <w:tcW w:w="1135" w:type="dxa"/>
          </w:tcPr>
          <w:p>
            <w:pPr>
              <w:pStyle w:val="TableParagraph"/>
              <w:spacing w:before="22"/>
              <w:ind w:left="357"/>
              <w:rPr>
                <w:sz w:val="21"/>
              </w:rPr>
            </w:pPr>
            <w:r>
              <w:rPr>
                <w:sz w:val="21"/>
              </w:rPr>
              <w:t>——</w:t>
            </w:r>
          </w:p>
        </w:tc>
        <w:tc>
          <w:tcPr>
            <w:tcW w:w="1135" w:type="dxa"/>
          </w:tcPr>
          <w:p>
            <w:pPr>
              <w:pStyle w:val="TableParagraph"/>
              <w:spacing w:before="22"/>
              <w:ind w:left="355"/>
              <w:rPr>
                <w:sz w:val="21"/>
              </w:rPr>
            </w:pPr>
            <w:r>
              <w:rPr>
                <w:sz w:val="21"/>
              </w:rPr>
              <w:t>——</w:t>
            </w:r>
          </w:p>
        </w:tc>
        <w:tc>
          <w:tcPr>
            <w:tcW w:w="3651" w:type="dxa"/>
          </w:tcPr>
          <w:p>
            <w:pPr>
              <w:pStyle w:val="TableParagraph"/>
              <w:spacing w:before="22"/>
              <w:rPr>
                <w:sz w:val="21"/>
              </w:rPr>
            </w:pPr>
            <w:r>
              <w:rPr>
                <w:sz w:val="21"/>
              </w:rPr>
              <w:t>引言</w:t>
            </w:r>
          </w:p>
        </w:tc>
      </w:tr>
      <w:tr>
        <w:trPr>
          <w:trHeight w:val="312" w:hRule="atLeast"/>
        </w:trPr>
        <w:tc>
          <w:tcPr>
            <w:tcW w:w="3684" w:type="dxa"/>
          </w:tcPr>
          <w:p>
            <w:pPr>
              <w:pStyle w:val="TableParagraph"/>
              <w:spacing w:before="21"/>
              <w:rPr>
                <w:sz w:val="21"/>
              </w:rPr>
            </w:pPr>
            <w:r>
              <w:rPr>
                <w:sz w:val="21"/>
              </w:rPr>
              <w:t>范围</w:t>
            </w:r>
          </w:p>
        </w:tc>
        <w:tc>
          <w:tcPr>
            <w:tcW w:w="1135" w:type="dxa"/>
          </w:tcPr>
          <w:p>
            <w:pPr>
              <w:pStyle w:val="TableParagraph"/>
              <w:spacing w:before="35"/>
              <w:rPr>
                <w:rFonts w:ascii="Times New Roman"/>
                <w:sz w:val="21"/>
              </w:rPr>
            </w:pPr>
            <w:r>
              <w:rPr>
                <w:rFonts w:ascii="Times New Roman"/>
                <w:w w:val="99"/>
                <w:sz w:val="21"/>
              </w:rPr>
              <w:t>1</w:t>
            </w:r>
          </w:p>
        </w:tc>
        <w:tc>
          <w:tcPr>
            <w:tcW w:w="1135" w:type="dxa"/>
          </w:tcPr>
          <w:p>
            <w:pPr>
              <w:pStyle w:val="TableParagraph"/>
              <w:spacing w:before="35"/>
              <w:rPr>
                <w:rFonts w:ascii="Times New Roman"/>
                <w:sz w:val="21"/>
              </w:rPr>
            </w:pPr>
            <w:r>
              <w:rPr>
                <w:rFonts w:ascii="Times New Roman"/>
                <w:w w:val="99"/>
                <w:sz w:val="21"/>
              </w:rPr>
              <w:t>1</w:t>
            </w:r>
          </w:p>
        </w:tc>
        <w:tc>
          <w:tcPr>
            <w:tcW w:w="3651" w:type="dxa"/>
          </w:tcPr>
          <w:p>
            <w:pPr>
              <w:pStyle w:val="TableParagraph"/>
              <w:spacing w:before="21"/>
              <w:rPr>
                <w:sz w:val="21"/>
              </w:rPr>
            </w:pPr>
            <w:r>
              <w:rPr>
                <w:sz w:val="21"/>
              </w:rPr>
              <w:t>范围</w:t>
            </w:r>
          </w:p>
        </w:tc>
      </w:tr>
      <w:tr>
        <w:trPr>
          <w:trHeight w:val="311" w:hRule="atLeast"/>
        </w:trPr>
        <w:tc>
          <w:tcPr>
            <w:tcW w:w="3684" w:type="dxa"/>
          </w:tcPr>
          <w:p>
            <w:pPr>
              <w:pStyle w:val="TableParagraph"/>
              <w:spacing w:before="21"/>
              <w:rPr>
                <w:sz w:val="21"/>
              </w:rPr>
            </w:pPr>
            <w:r>
              <w:rPr>
                <w:sz w:val="21"/>
              </w:rPr>
              <w:t>规范性引用文件</w:t>
            </w:r>
          </w:p>
        </w:tc>
        <w:tc>
          <w:tcPr>
            <w:tcW w:w="1135" w:type="dxa"/>
          </w:tcPr>
          <w:p>
            <w:pPr>
              <w:pStyle w:val="TableParagraph"/>
              <w:spacing w:before="35"/>
              <w:rPr>
                <w:rFonts w:ascii="Times New Roman"/>
                <w:sz w:val="21"/>
              </w:rPr>
            </w:pPr>
            <w:r>
              <w:rPr>
                <w:rFonts w:ascii="Times New Roman"/>
                <w:w w:val="99"/>
                <w:sz w:val="21"/>
              </w:rPr>
              <w:t>2</w:t>
            </w:r>
          </w:p>
        </w:tc>
        <w:tc>
          <w:tcPr>
            <w:tcW w:w="1135" w:type="dxa"/>
          </w:tcPr>
          <w:p>
            <w:pPr>
              <w:pStyle w:val="TableParagraph"/>
              <w:spacing w:before="35"/>
              <w:rPr>
                <w:rFonts w:ascii="Times New Roman"/>
                <w:sz w:val="21"/>
              </w:rPr>
            </w:pPr>
            <w:r>
              <w:rPr>
                <w:rFonts w:ascii="Times New Roman"/>
                <w:w w:val="99"/>
                <w:sz w:val="21"/>
              </w:rPr>
              <w:t>2</w:t>
            </w:r>
          </w:p>
        </w:tc>
        <w:tc>
          <w:tcPr>
            <w:tcW w:w="3651" w:type="dxa"/>
          </w:tcPr>
          <w:p>
            <w:pPr>
              <w:pStyle w:val="TableParagraph"/>
              <w:spacing w:before="21"/>
              <w:rPr>
                <w:sz w:val="21"/>
              </w:rPr>
            </w:pPr>
            <w:r>
              <w:rPr>
                <w:sz w:val="21"/>
              </w:rPr>
              <w:t>规范性引用文件</w:t>
            </w:r>
          </w:p>
        </w:tc>
      </w:tr>
      <w:tr>
        <w:trPr>
          <w:trHeight w:val="311" w:hRule="atLeast"/>
        </w:trPr>
        <w:tc>
          <w:tcPr>
            <w:tcW w:w="3684" w:type="dxa"/>
          </w:tcPr>
          <w:p>
            <w:pPr>
              <w:pStyle w:val="TableParagraph"/>
              <w:spacing w:before="21"/>
              <w:rPr>
                <w:sz w:val="21"/>
              </w:rPr>
            </w:pPr>
            <w:r>
              <w:rPr>
                <w:sz w:val="21"/>
              </w:rPr>
              <w:t>术语和定义</w:t>
            </w:r>
          </w:p>
        </w:tc>
        <w:tc>
          <w:tcPr>
            <w:tcW w:w="1135" w:type="dxa"/>
          </w:tcPr>
          <w:p>
            <w:pPr>
              <w:pStyle w:val="TableParagraph"/>
              <w:spacing w:before="34"/>
              <w:rPr>
                <w:rFonts w:ascii="Times New Roman"/>
                <w:sz w:val="21"/>
              </w:rPr>
            </w:pPr>
            <w:r>
              <w:rPr>
                <w:rFonts w:ascii="Times New Roman"/>
                <w:w w:val="99"/>
                <w:sz w:val="21"/>
              </w:rPr>
              <w:t>3</w:t>
            </w:r>
          </w:p>
        </w:tc>
        <w:tc>
          <w:tcPr>
            <w:tcW w:w="1135" w:type="dxa"/>
          </w:tcPr>
          <w:p>
            <w:pPr>
              <w:pStyle w:val="TableParagraph"/>
              <w:spacing w:before="34"/>
              <w:rPr>
                <w:rFonts w:ascii="Times New Roman"/>
                <w:sz w:val="21"/>
              </w:rPr>
            </w:pPr>
            <w:r>
              <w:rPr>
                <w:rFonts w:ascii="Times New Roman"/>
                <w:w w:val="99"/>
                <w:sz w:val="21"/>
              </w:rPr>
              <w:t>3</w:t>
            </w:r>
          </w:p>
        </w:tc>
        <w:tc>
          <w:tcPr>
            <w:tcW w:w="3651" w:type="dxa"/>
          </w:tcPr>
          <w:p>
            <w:pPr>
              <w:pStyle w:val="TableParagraph"/>
              <w:spacing w:before="21"/>
              <w:rPr>
                <w:sz w:val="21"/>
              </w:rPr>
            </w:pPr>
            <w:r>
              <w:rPr>
                <w:sz w:val="21"/>
              </w:rPr>
              <w:t>术语和定义</w:t>
            </w:r>
          </w:p>
        </w:tc>
      </w:tr>
      <w:tr>
        <w:trPr>
          <w:trHeight w:val="583" w:hRule="atLeast"/>
        </w:trPr>
        <w:tc>
          <w:tcPr>
            <w:tcW w:w="3684" w:type="dxa"/>
          </w:tcPr>
          <w:p>
            <w:pPr>
              <w:pStyle w:val="TableParagraph"/>
              <w:spacing w:before="157"/>
              <w:rPr>
                <w:sz w:val="21"/>
              </w:rPr>
            </w:pPr>
            <w:r>
              <w:rPr>
                <w:sz w:val="21"/>
              </w:rPr>
              <w:t>组织所处的环境（仅标题）</w:t>
            </w:r>
          </w:p>
        </w:tc>
        <w:tc>
          <w:tcPr>
            <w:tcW w:w="1135" w:type="dxa"/>
          </w:tcPr>
          <w:p>
            <w:pPr>
              <w:pStyle w:val="TableParagraph"/>
              <w:spacing w:before="171"/>
              <w:rPr>
                <w:rFonts w:ascii="Times New Roman"/>
                <w:sz w:val="21"/>
              </w:rPr>
            </w:pPr>
            <w:r>
              <w:rPr>
                <w:rFonts w:ascii="Times New Roman"/>
                <w:w w:val="99"/>
                <w:sz w:val="21"/>
              </w:rPr>
              <w:t>4</w:t>
            </w:r>
          </w:p>
        </w:tc>
        <w:tc>
          <w:tcPr>
            <w:tcW w:w="1135" w:type="dxa"/>
            <w:vMerge w:val="restart"/>
          </w:tcPr>
          <w:p>
            <w:pPr>
              <w:pStyle w:val="TableParagraph"/>
              <w:ind w:left="0"/>
              <w:rPr>
                <w:rFonts w:ascii="黑体"/>
                <w:sz w:val="20"/>
              </w:rPr>
            </w:pPr>
          </w:p>
          <w:p>
            <w:pPr>
              <w:pStyle w:val="TableParagraph"/>
              <w:spacing w:before="1"/>
              <w:ind w:left="0"/>
              <w:rPr>
                <w:rFonts w:ascii="黑体"/>
                <w:sz w:val="18"/>
              </w:rPr>
            </w:pPr>
          </w:p>
          <w:p>
            <w:pPr>
              <w:pStyle w:val="TableParagraph"/>
              <w:ind w:left="355"/>
              <w:rPr>
                <w:sz w:val="21"/>
              </w:rPr>
            </w:pPr>
            <w:r>
              <w:rPr>
                <w:sz w:val="21"/>
              </w:rPr>
              <w:t>——</w:t>
            </w:r>
          </w:p>
        </w:tc>
        <w:tc>
          <w:tcPr>
            <w:tcW w:w="3651" w:type="dxa"/>
            <w:vMerge w:val="restart"/>
          </w:tcPr>
          <w:p>
            <w:pPr>
              <w:pStyle w:val="TableParagraph"/>
              <w:spacing w:before="20"/>
              <w:rPr>
                <w:sz w:val="21"/>
              </w:rPr>
            </w:pPr>
            <w:r>
              <w:rPr>
                <w:sz w:val="21"/>
              </w:rPr>
              <w:t>新要求</w:t>
            </w:r>
          </w:p>
          <w:p>
            <w:pPr>
              <w:pStyle w:val="TableParagraph"/>
              <w:spacing w:line="310" w:lineRule="atLeast" w:before="2"/>
              <w:ind w:right="67"/>
              <w:jc w:val="both"/>
              <w:rPr>
                <w:sz w:val="21"/>
              </w:rPr>
            </w:pPr>
            <w:r>
              <w:rPr>
                <w:spacing w:val="7"/>
                <w:sz w:val="21"/>
              </w:rPr>
              <w:t>（</w:t>
            </w:r>
            <w:r>
              <w:rPr>
                <w:spacing w:val="-11"/>
                <w:sz w:val="21"/>
              </w:rPr>
              <w:t>也参见 </w:t>
            </w:r>
            <w:r>
              <w:rPr>
                <w:rFonts w:ascii="Times New Roman" w:hAnsi="Times New Roman" w:eastAsia="Times New Roman"/>
                <w:sz w:val="21"/>
              </w:rPr>
              <w:t>4.6</w:t>
            </w:r>
            <w:r>
              <w:rPr>
                <w:rFonts w:ascii="Times New Roman" w:hAnsi="Times New Roman" w:eastAsia="Times New Roman"/>
                <w:spacing w:val="52"/>
                <w:sz w:val="21"/>
              </w:rPr>
              <w:t> </w:t>
            </w:r>
            <w:r>
              <w:rPr>
                <w:spacing w:val="4"/>
                <w:sz w:val="21"/>
              </w:rPr>
              <w:t>管理评审中的“——客</w:t>
            </w:r>
            <w:r>
              <w:rPr>
                <w:spacing w:val="3"/>
                <w:sz w:val="21"/>
              </w:rPr>
              <w:t>观环境的变化，包括与职业健康安全</w:t>
            </w:r>
            <w:r>
              <w:rPr>
                <w:spacing w:val="-8"/>
                <w:w w:val="99"/>
                <w:sz w:val="21"/>
              </w:rPr>
              <w:t>有关的法律法规和其他要求的发展”</w:t>
            </w:r>
            <w:r>
              <w:rPr>
                <w:w w:val="99"/>
                <w:sz w:val="21"/>
              </w:rPr>
              <w:t>）</w:t>
            </w:r>
          </w:p>
        </w:tc>
      </w:tr>
      <w:tr>
        <w:trPr>
          <w:trHeight w:val="654" w:hRule="atLeast"/>
        </w:trPr>
        <w:tc>
          <w:tcPr>
            <w:tcW w:w="3684" w:type="dxa"/>
          </w:tcPr>
          <w:p>
            <w:pPr>
              <w:pStyle w:val="TableParagraph"/>
              <w:spacing w:before="12"/>
              <w:ind w:left="0"/>
              <w:rPr>
                <w:rFonts w:ascii="黑体"/>
                <w:sz w:val="14"/>
              </w:rPr>
            </w:pPr>
          </w:p>
          <w:p>
            <w:pPr>
              <w:pStyle w:val="TableParagraph"/>
              <w:rPr>
                <w:sz w:val="21"/>
              </w:rPr>
            </w:pPr>
            <w:r>
              <w:rPr>
                <w:sz w:val="21"/>
              </w:rPr>
              <w:t>理解组织及其所处的环境</w:t>
            </w:r>
          </w:p>
        </w:tc>
        <w:tc>
          <w:tcPr>
            <w:tcW w:w="1135" w:type="dxa"/>
          </w:tcPr>
          <w:p>
            <w:pPr>
              <w:pStyle w:val="TableParagraph"/>
              <w:ind w:left="0"/>
              <w:rPr>
                <w:rFonts w:ascii="黑体"/>
                <w:sz w:val="16"/>
              </w:rPr>
            </w:pPr>
          </w:p>
          <w:p>
            <w:pPr>
              <w:pStyle w:val="TableParagraph"/>
              <w:spacing w:before="1"/>
              <w:rPr>
                <w:rFonts w:ascii="Times New Roman"/>
                <w:sz w:val="21"/>
              </w:rPr>
            </w:pPr>
            <w:r>
              <w:rPr>
                <w:rFonts w:ascii="Times New Roman"/>
                <w:sz w:val="21"/>
              </w:rPr>
              <w:t>4.1</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1560" w:hRule="atLeast"/>
        </w:trPr>
        <w:tc>
          <w:tcPr>
            <w:tcW w:w="3684" w:type="dxa"/>
          </w:tcPr>
          <w:p>
            <w:pPr>
              <w:pStyle w:val="TableParagraph"/>
              <w:ind w:left="0"/>
              <w:rPr>
                <w:rFonts w:ascii="黑体"/>
                <w:sz w:val="20"/>
              </w:rPr>
            </w:pPr>
          </w:p>
          <w:p>
            <w:pPr>
              <w:pStyle w:val="TableParagraph"/>
              <w:spacing w:before="1"/>
              <w:ind w:left="0"/>
              <w:rPr>
                <w:rFonts w:ascii="黑体"/>
                <w:sz w:val="18"/>
              </w:rPr>
            </w:pPr>
          </w:p>
          <w:p>
            <w:pPr>
              <w:pStyle w:val="TableParagraph"/>
              <w:spacing w:line="278" w:lineRule="auto"/>
              <w:ind w:right="98"/>
              <w:rPr>
                <w:sz w:val="21"/>
              </w:rPr>
            </w:pPr>
            <w:r>
              <w:rPr>
                <w:w w:val="95"/>
                <w:sz w:val="21"/>
              </w:rPr>
              <w:t>理解工作人员和其他相关方的需求和</w:t>
            </w:r>
            <w:r>
              <w:rPr>
                <w:sz w:val="21"/>
              </w:rPr>
              <w:t>期望</w:t>
            </w:r>
          </w:p>
        </w:tc>
        <w:tc>
          <w:tcPr>
            <w:tcW w:w="1135" w:type="dxa"/>
          </w:tcPr>
          <w:p>
            <w:pPr>
              <w:pStyle w:val="TableParagraph"/>
              <w:ind w:left="0"/>
              <w:rPr>
                <w:rFonts w:ascii="黑体"/>
                <w:sz w:val="22"/>
              </w:rPr>
            </w:pPr>
          </w:p>
          <w:p>
            <w:pPr>
              <w:pStyle w:val="TableParagraph"/>
              <w:spacing w:before="4"/>
              <w:ind w:left="0"/>
              <w:rPr>
                <w:rFonts w:ascii="黑体"/>
                <w:sz w:val="29"/>
              </w:rPr>
            </w:pPr>
          </w:p>
          <w:p>
            <w:pPr>
              <w:pStyle w:val="TableParagraph"/>
              <w:rPr>
                <w:rFonts w:ascii="Times New Roman"/>
                <w:sz w:val="21"/>
              </w:rPr>
            </w:pPr>
            <w:r>
              <w:rPr>
                <w:rFonts w:ascii="Times New Roman"/>
                <w:sz w:val="21"/>
              </w:rPr>
              <w:t>4.2</w:t>
            </w:r>
          </w:p>
        </w:tc>
        <w:tc>
          <w:tcPr>
            <w:tcW w:w="1135" w:type="dxa"/>
          </w:tcPr>
          <w:p>
            <w:pPr>
              <w:pStyle w:val="TableParagraph"/>
              <w:ind w:left="0"/>
              <w:rPr>
                <w:rFonts w:ascii="黑体"/>
                <w:sz w:val="22"/>
              </w:rPr>
            </w:pPr>
          </w:p>
          <w:p>
            <w:pPr>
              <w:pStyle w:val="TableParagraph"/>
              <w:spacing w:before="4"/>
              <w:ind w:left="0"/>
              <w:rPr>
                <w:rFonts w:ascii="黑体"/>
                <w:sz w:val="29"/>
              </w:rPr>
            </w:pPr>
          </w:p>
          <w:p>
            <w:pPr>
              <w:pStyle w:val="TableParagraph"/>
              <w:rPr>
                <w:rFonts w:ascii="Times New Roman"/>
                <w:sz w:val="21"/>
              </w:rPr>
            </w:pPr>
            <w:r>
              <w:rPr>
                <w:rFonts w:ascii="Times New Roman"/>
                <w:sz w:val="21"/>
              </w:rPr>
              <w:t>4.4.3.2</w:t>
            </w:r>
          </w:p>
        </w:tc>
        <w:tc>
          <w:tcPr>
            <w:tcW w:w="3651" w:type="dxa"/>
          </w:tcPr>
          <w:p>
            <w:pPr>
              <w:pStyle w:val="TableParagraph"/>
              <w:spacing w:before="20"/>
              <w:rPr>
                <w:sz w:val="21"/>
              </w:rPr>
            </w:pPr>
            <w:r>
              <w:rPr>
                <w:sz w:val="21"/>
              </w:rPr>
              <w:t>参与和协商（部分对应）</w:t>
            </w:r>
          </w:p>
          <w:p>
            <w:pPr>
              <w:pStyle w:val="TableParagraph"/>
              <w:spacing w:line="278" w:lineRule="auto" w:before="43"/>
              <w:ind w:right="98"/>
              <w:rPr>
                <w:sz w:val="21"/>
              </w:rPr>
            </w:pPr>
            <w:r>
              <w:rPr>
                <w:sz w:val="21"/>
              </w:rPr>
              <w:t>［</w:t>
            </w:r>
            <w:r>
              <w:rPr>
                <w:spacing w:val="-14"/>
                <w:sz w:val="21"/>
              </w:rPr>
              <w:t>也参见 </w:t>
            </w:r>
            <w:r>
              <w:rPr>
                <w:rFonts w:ascii="Times New Roman" w:hAnsi="Times New Roman" w:eastAsia="Times New Roman"/>
                <w:sz w:val="21"/>
              </w:rPr>
              <w:t>4.6 </w:t>
            </w:r>
            <w:r>
              <w:rPr>
                <w:spacing w:val="-6"/>
                <w:sz w:val="21"/>
              </w:rPr>
              <w:t>管理评审中的“—— 参</w:t>
            </w:r>
            <w:r>
              <w:rPr>
                <w:spacing w:val="-1"/>
                <w:w w:val="99"/>
                <w:sz w:val="21"/>
              </w:rPr>
              <w:t>与和协商的结果</w:t>
            </w:r>
            <w:r>
              <w:rPr>
                <w:spacing w:val="2"/>
                <w:w w:val="99"/>
                <w:sz w:val="21"/>
              </w:rPr>
              <w:t>（</w:t>
            </w:r>
            <w:r>
              <w:rPr>
                <w:spacing w:val="-1"/>
                <w:w w:val="99"/>
                <w:sz w:val="21"/>
              </w:rPr>
              <w:t>参见</w:t>
            </w:r>
            <w:r>
              <w:rPr>
                <w:spacing w:val="-53"/>
                <w:sz w:val="21"/>
              </w:rPr>
              <w:t> </w:t>
            </w:r>
            <w:r>
              <w:rPr>
                <w:rFonts w:ascii="Times New Roman" w:hAnsi="Times New Roman" w:eastAsia="Times New Roman"/>
                <w:spacing w:val="1"/>
                <w:w w:val="99"/>
                <w:sz w:val="21"/>
              </w:rPr>
              <w:t>4</w:t>
            </w:r>
            <w:r>
              <w:rPr>
                <w:rFonts w:ascii="Times New Roman" w:hAnsi="Times New Roman" w:eastAsia="Times New Roman"/>
                <w:w w:val="99"/>
                <w:sz w:val="21"/>
              </w:rPr>
              <w:t>.</w:t>
            </w:r>
            <w:r>
              <w:rPr>
                <w:rFonts w:ascii="Times New Roman" w:hAnsi="Times New Roman" w:eastAsia="Times New Roman"/>
                <w:spacing w:val="1"/>
                <w:w w:val="99"/>
                <w:sz w:val="21"/>
              </w:rPr>
              <w:t>4</w:t>
            </w:r>
            <w:r>
              <w:rPr>
                <w:rFonts w:ascii="Times New Roman" w:hAnsi="Times New Roman" w:eastAsia="Times New Roman"/>
                <w:w w:val="99"/>
                <w:sz w:val="21"/>
              </w:rPr>
              <w:t>.</w:t>
            </w:r>
            <w:r>
              <w:rPr>
                <w:rFonts w:ascii="Times New Roman" w:hAnsi="Times New Roman" w:eastAsia="Times New Roman"/>
                <w:spacing w:val="-2"/>
                <w:w w:val="99"/>
                <w:sz w:val="21"/>
              </w:rPr>
              <w:t>3</w:t>
            </w:r>
            <w:r>
              <w:rPr>
                <w:spacing w:val="-104"/>
                <w:w w:val="99"/>
                <w:sz w:val="21"/>
              </w:rPr>
              <w:t>）</w:t>
            </w:r>
            <w:r>
              <w:rPr>
                <w:w w:val="99"/>
                <w:sz w:val="21"/>
              </w:rPr>
              <w:t>；</w:t>
            </w:r>
          </w:p>
          <w:p>
            <w:pPr>
              <w:pStyle w:val="TableParagraph"/>
              <w:spacing w:line="269" w:lineRule="exact"/>
              <w:rPr>
                <w:sz w:val="21"/>
              </w:rPr>
            </w:pPr>
            <w:r>
              <w:rPr>
                <w:sz w:val="21"/>
              </w:rPr>
              <w:t>—— 来自外部相关方的相关沟通信</w:t>
            </w:r>
          </w:p>
          <w:p>
            <w:pPr>
              <w:pStyle w:val="TableParagraph"/>
              <w:spacing w:before="43"/>
              <w:rPr>
                <w:sz w:val="21"/>
              </w:rPr>
            </w:pPr>
            <w:r>
              <w:rPr>
                <w:spacing w:val="-27"/>
                <w:w w:val="99"/>
                <w:sz w:val="21"/>
              </w:rPr>
              <w:t>息，包括投诉；”</w:t>
            </w:r>
            <w:r>
              <w:rPr>
                <w:w w:val="99"/>
                <w:sz w:val="21"/>
              </w:rPr>
              <w:t>］</w:t>
            </w:r>
          </w:p>
        </w:tc>
      </w:tr>
      <w:tr>
        <w:trPr>
          <w:trHeight w:val="311" w:hRule="atLeast"/>
        </w:trPr>
        <w:tc>
          <w:tcPr>
            <w:tcW w:w="3684" w:type="dxa"/>
          </w:tcPr>
          <w:p>
            <w:pPr>
              <w:pStyle w:val="TableParagraph"/>
              <w:spacing w:before="22"/>
              <w:rPr>
                <w:sz w:val="21"/>
              </w:rPr>
            </w:pPr>
            <w:r>
              <w:rPr>
                <w:sz w:val="21"/>
              </w:rPr>
              <w:t>确定职业健康安全管理体系范围</w:t>
            </w:r>
          </w:p>
        </w:tc>
        <w:tc>
          <w:tcPr>
            <w:tcW w:w="1135" w:type="dxa"/>
          </w:tcPr>
          <w:p>
            <w:pPr>
              <w:pStyle w:val="TableParagraph"/>
              <w:spacing w:before="36"/>
              <w:rPr>
                <w:rFonts w:ascii="Times New Roman"/>
                <w:sz w:val="21"/>
              </w:rPr>
            </w:pPr>
            <w:r>
              <w:rPr>
                <w:rFonts w:ascii="Times New Roman"/>
                <w:sz w:val="21"/>
              </w:rPr>
              <w:t>4.3</w:t>
            </w:r>
          </w:p>
        </w:tc>
        <w:tc>
          <w:tcPr>
            <w:tcW w:w="1135" w:type="dxa"/>
          </w:tcPr>
          <w:p>
            <w:pPr>
              <w:pStyle w:val="TableParagraph"/>
              <w:spacing w:before="36"/>
              <w:rPr>
                <w:rFonts w:ascii="Times New Roman"/>
                <w:sz w:val="21"/>
              </w:rPr>
            </w:pPr>
            <w:r>
              <w:rPr>
                <w:rFonts w:ascii="Times New Roman"/>
                <w:sz w:val="21"/>
              </w:rPr>
              <w:t>4.1</w:t>
            </w:r>
          </w:p>
        </w:tc>
        <w:tc>
          <w:tcPr>
            <w:tcW w:w="3651" w:type="dxa"/>
          </w:tcPr>
          <w:p>
            <w:pPr>
              <w:pStyle w:val="TableParagraph"/>
              <w:spacing w:before="22"/>
              <w:rPr>
                <w:sz w:val="21"/>
              </w:rPr>
            </w:pPr>
            <w:r>
              <w:rPr>
                <w:sz w:val="21"/>
              </w:rPr>
              <w:t>总要求（部分对应）</w:t>
            </w:r>
          </w:p>
        </w:tc>
      </w:tr>
      <w:tr>
        <w:trPr>
          <w:trHeight w:val="312" w:hRule="atLeast"/>
        </w:trPr>
        <w:tc>
          <w:tcPr>
            <w:tcW w:w="3684" w:type="dxa"/>
            <w:vMerge w:val="restart"/>
          </w:tcPr>
          <w:p>
            <w:pPr>
              <w:pStyle w:val="TableParagraph"/>
              <w:spacing w:before="3"/>
              <w:ind w:left="0"/>
              <w:rPr>
                <w:rFonts w:ascii="黑体"/>
                <w:sz w:val="14"/>
              </w:rPr>
            </w:pPr>
          </w:p>
          <w:p>
            <w:pPr>
              <w:pStyle w:val="TableParagraph"/>
              <w:rPr>
                <w:sz w:val="21"/>
              </w:rPr>
            </w:pPr>
            <w:r>
              <w:rPr>
                <w:sz w:val="21"/>
              </w:rPr>
              <w:t>职业健康安全管理体系</w:t>
            </w:r>
          </w:p>
        </w:tc>
        <w:tc>
          <w:tcPr>
            <w:tcW w:w="1135" w:type="dxa"/>
            <w:vMerge w:val="restart"/>
          </w:tcPr>
          <w:p>
            <w:pPr>
              <w:pStyle w:val="TableParagraph"/>
              <w:spacing w:before="196"/>
              <w:rPr>
                <w:rFonts w:ascii="Times New Roman"/>
                <w:sz w:val="21"/>
              </w:rPr>
            </w:pPr>
            <w:r>
              <w:rPr>
                <w:rFonts w:ascii="Times New Roman"/>
                <w:sz w:val="21"/>
              </w:rPr>
              <w:t>4.4</w:t>
            </w:r>
          </w:p>
        </w:tc>
        <w:tc>
          <w:tcPr>
            <w:tcW w:w="1135" w:type="dxa"/>
          </w:tcPr>
          <w:p>
            <w:pPr>
              <w:pStyle w:val="TableParagraph"/>
              <w:spacing w:before="35"/>
              <w:rPr>
                <w:rFonts w:ascii="Times New Roman"/>
                <w:sz w:val="21"/>
              </w:rPr>
            </w:pPr>
            <w:r>
              <w:rPr>
                <w:rFonts w:ascii="Times New Roman"/>
                <w:w w:val="99"/>
                <w:sz w:val="21"/>
              </w:rPr>
              <w:t>4</w:t>
            </w:r>
          </w:p>
        </w:tc>
        <w:tc>
          <w:tcPr>
            <w:tcW w:w="3651" w:type="dxa"/>
          </w:tcPr>
          <w:p>
            <w:pPr>
              <w:pStyle w:val="TableParagraph"/>
              <w:spacing w:before="21"/>
              <w:ind w:right="-15"/>
              <w:rPr>
                <w:sz w:val="21"/>
              </w:rPr>
            </w:pPr>
            <w:r>
              <w:rPr>
                <w:spacing w:val="-3"/>
                <w:sz w:val="21"/>
              </w:rPr>
              <w:t>职业健康安全管理体系要求</w:t>
            </w:r>
            <w:r>
              <w:rPr>
                <w:sz w:val="21"/>
              </w:rPr>
              <w:t>（仅标题）</w:t>
            </w:r>
          </w:p>
        </w:tc>
      </w:tr>
      <w:tr>
        <w:trPr>
          <w:trHeight w:val="312" w:hRule="atLeast"/>
        </w:trPr>
        <w:tc>
          <w:tcPr>
            <w:tcW w:w="3684" w:type="dxa"/>
            <w:vMerge/>
            <w:tcBorders>
              <w:top w:val="nil"/>
            </w:tcBorders>
          </w:tcPr>
          <w:p>
            <w:pPr>
              <w:rPr>
                <w:sz w:val="2"/>
                <w:szCs w:val="2"/>
              </w:rPr>
            </w:pPr>
          </w:p>
        </w:tc>
        <w:tc>
          <w:tcPr>
            <w:tcW w:w="1135" w:type="dxa"/>
            <w:vMerge/>
            <w:tcBorders>
              <w:top w:val="nil"/>
            </w:tcBorders>
          </w:tcPr>
          <w:p>
            <w:pPr>
              <w:rPr>
                <w:sz w:val="2"/>
                <w:szCs w:val="2"/>
              </w:rPr>
            </w:pPr>
          </w:p>
        </w:tc>
        <w:tc>
          <w:tcPr>
            <w:tcW w:w="1135" w:type="dxa"/>
          </w:tcPr>
          <w:p>
            <w:pPr>
              <w:pStyle w:val="TableParagraph"/>
              <w:spacing w:before="35"/>
              <w:rPr>
                <w:rFonts w:ascii="Times New Roman"/>
                <w:sz w:val="21"/>
              </w:rPr>
            </w:pPr>
            <w:r>
              <w:rPr>
                <w:rFonts w:ascii="Times New Roman"/>
                <w:sz w:val="21"/>
              </w:rPr>
              <w:t>4.1</w:t>
            </w:r>
          </w:p>
        </w:tc>
        <w:tc>
          <w:tcPr>
            <w:tcW w:w="3651" w:type="dxa"/>
          </w:tcPr>
          <w:p>
            <w:pPr>
              <w:pStyle w:val="TableParagraph"/>
              <w:spacing w:before="21"/>
              <w:rPr>
                <w:sz w:val="21"/>
              </w:rPr>
            </w:pPr>
            <w:r>
              <w:rPr>
                <w:sz w:val="21"/>
              </w:rPr>
              <w:t>总要求</w:t>
            </w:r>
          </w:p>
        </w:tc>
      </w:tr>
      <w:tr>
        <w:trPr>
          <w:trHeight w:val="312" w:hRule="atLeast"/>
        </w:trPr>
        <w:tc>
          <w:tcPr>
            <w:tcW w:w="3684" w:type="dxa"/>
          </w:tcPr>
          <w:p>
            <w:pPr>
              <w:pStyle w:val="TableParagraph"/>
              <w:spacing w:before="20"/>
              <w:rPr>
                <w:sz w:val="21"/>
              </w:rPr>
            </w:pPr>
            <w:r>
              <w:rPr>
                <w:sz w:val="21"/>
              </w:rPr>
              <w:t>领导作用和工作人员参与（仅标题）</w:t>
            </w:r>
          </w:p>
        </w:tc>
        <w:tc>
          <w:tcPr>
            <w:tcW w:w="1135" w:type="dxa"/>
          </w:tcPr>
          <w:p>
            <w:pPr>
              <w:pStyle w:val="TableParagraph"/>
              <w:spacing w:before="34"/>
              <w:rPr>
                <w:rFonts w:ascii="Times New Roman"/>
                <w:sz w:val="21"/>
              </w:rPr>
            </w:pPr>
            <w:r>
              <w:rPr>
                <w:rFonts w:ascii="Times New Roman"/>
                <w:w w:val="99"/>
                <w:sz w:val="21"/>
              </w:rPr>
              <w:t>5</w:t>
            </w:r>
          </w:p>
        </w:tc>
        <w:tc>
          <w:tcPr>
            <w:tcW w:w="1135" w:type="dxa"/>
          </w:tcPr>
          <w:p>
            <w:pPr>
              <w:pStyle w:val="TableParagraph"/>
              <w:spacing w:before="34"/>
              <w:rPr>
                <w:rFonts w:ascii="Times New Roman"/>
                <w:sz w:val="21"/>
              </w:rPr>
            </w:pPr>
            <w:r>
              <w:rPr>
                <w:rFonts w:ascii="Times New Roman"/>
                <w:sz w:val="21"/>
              </w:rPr>
              <w:t>4.4.3</w:t>
            </w:r>
          </w:p>
        </w:tc>
        <w:tc>
          <w:tcPr>
            <w:tcW w:w="3651" w:type="dxa"/>
          </w:tcPr>
          <w:p>
            <w:pPr>
              <w:pStyle w:val="TableParagraph"/>
              <w:spacing w:before="20"/>
              <w:rPr>
                <w:sz w:val="21"/>
              </w:rPr>
            </w:pPr>
            <w:r>
              <w:rPr>
                <w:sz w:val="21"/>
              </w:rPr>
              <w:t>沟通、参与和协商（仅标题）</w:t>
            </w:r>
          </w:p>
        </w:tc>
      </w:tr>
      <w:tr>
        <w:trPr>
          <w:trHeight w:val="311" w:hRule="atLeast"/>
        </w:trPr>
        <w:tc>
          <w:tcPr>
            <w:tcW w:w="3684" w:type="dxa"/>
          </w:tcPr>
          <w:p>
            <w:pPr>
              <w:pStyle w:val="TableParagraph"/>
              <w:spacing w:before="20"/>
              <w:rPr>
                <w:sz w:val="21"/>
              </w:rPr>
            </w:pPr>
            <w:r>
              <w:rPr>
                <w:sz w:val="21"/>
              </w:rPr>
              <w:t>领导作用与承诺</w:t>
            </w:r>
          </w:p>
        </w:tc>
        <w:tc>
          <w:tcPr>
            <w:tcW w:w="1135" w:type="dxa"/>
          </w:tcPr>
          <w:p>
            <w:pPr>
              <w:pStyle w:val="TableParagraph"/>
              <w:spacing w:before="34"/>
              <w:rPr>
                <w:rFonts w:ascii="Times New Roman"/>
                <w:sz w:val="21"/>
              </w:rPr>
            </w:pPr>
            <w:r>
              <w:rPr>
                <w:rFonts w:ascii="Times New Roman"/>
                <w:sz w:val="21"/>
              </w:rPr>
              <w:t>5.1</w:t>
            </w:r>
          </w:p>
        </w:tc>
        <w:tc>
          <w:tcPr>
            <w:tcW w:w="1135" w:type="dxa"/>
          </w:tcPr>
          <w:p>
            <w:pPr>
              <w:pStyle w:val="TableParagraph"/>
              <w:spacing w:before="34"/>
              <w:rPr>
                <w:rFonts w:ascii="Times New Roman"/>
                <w:sz w:val="21"/>
              </w:rPr>
            </w:pPr>
            <w:r>
              <w:rPr>
                <w:rFonts w:ascii="Times New Roman"/>
                <w:sz w:val="21"/>
              </w:rPr>
              <w:t>4.4.1</w:t>
            </w:r>
          </w:p>
        </w:tc>
        <w:tc>
          <w:tcPr>
            <w:tcW w:w="3651" w:type="dxa"/>
          </w:tcPr>
          <w:p>
            <w:pPr>
              <w:pStyle w:val="TableParagraph"/>
              <w:spacing w:before="20"/>
              <w:rPr>
                <w:sz w:val="21"/>
              </w:rPr>
            </w:pPr>
            <w:r>
              <w:rPr>
                <w:sz w:val="21"/>
              </w:rPr>
              <w:t>资源、作用、职责、责任和权限</w:t>
            </w:r>
          </w:p>
        </w:tc>
      </w:tr>
      <w:tr>
        <w:trPr>
          <w:trHeight w:val="312" w:hRule="atLeast"/>
        </w:trPr>
        <w:tc>
          <w:tcPr>
            <w:tcW w:w="3684" w:type="dxa"/>
          </w:tcPr>
          <w:p>
            <w:pPr>
              <w:pStyle w:val="TableParagraph"/>
              <w:spacing w:before="20"/>
              <w:rPr>
                <w:sz w:val="21"/>
              </w:rPr>
            </w:pPr>
            <w:r>
              <w:rPr>
                <w:sz w:val="21"/>
              </w:rPr>
              <w:t>职业健康安全方针</w:t>
            </w:r>
          </w:p>
        </w:tc>
        <w:tc>
          <w:tcPr>
            <w:tcW w:w="1135" w:type="dxa"/>
          </w:tcPr>
          <w:p>
            <w:pPr>
              <w:pStyle w:val="TableParagraph"/>
              <w:spacing w:before="34"/>
              <w:rPr>
                <w:rFonts w:ascii="Times New Roman"/>
                <w:sz w:val="21"/>
              </w:rPr>
            </w:pPr>
            <w:r>
              <w:rPr>
                <w:rFonts w:ascii="Times New Roman"/>
                <w:sz w:val="21"/>
              </w:rPr>
              <w:t>5.2</w:t>
            </w:r>
          </w:p>
        </w:tc>
        <w:tc>
          <w:tcPr>
            <w:tcW w:w="1135" w:type="dxa"/>
          </w:tcPr>
          <w:p>
            <w:pPr>
              <w:pStyle w:val="TableParagraph"/>
              <w:spacing w:before="34"/>
              <w:rPr>
                <w:rFonts w:ascii="Times New Roman"/>
                <w:sz w:val="21"/>
              </w:rPr>
            </w:pPr>
            <w:r>
              <w:rPr>
                <w:rFonts w:ascii="Times New Roman"/>
                <w:sz w:val="21"/>
              </w:rPr>
              <w:t>4.2</w:t>
            </w:r>
          </w:p>
        </w:tc>
        <w:tc>
          <w:tcPr>
            <w:tcW w:w="3651" w:type="dxa"/>
          </w:tcPr>
          <w:p>
            <w:pPr>
              <w:pStyle w:val="TableParagraph"/>
              <w:spacing w:before="20"/>
              <w:rPr>
                <w:sz w:val="21"/>
              </w:rPr>
            </w:pPr>
            <w:r>
              <w:rPr>
                <w:sz w:val="21"/>
              </w:rPr>
              <w:t>职业健康安全方针</w:t>
            </w:r>
          </w:p>
        </w:tc>
      </w:tr>
      <w:tr>
        <w:trPr>
          <w:trHeight w:val="312" w:hRule="atLeast"/>
        </w:trPr>
        <w:tc>
          <w:tcPr>
            <w:tcW w:w="3684" w:type="dxa"/>
          </w:tcPr>
          <w:p>
            <w:pPr>
              <w:pStyle w:val="TableParagraph"/>
              <w:spacing w:before="22"/>
              <w:rPr>
                <w:sz w:val="21"/>
              </w:rPr>
            </w:pPr>
            <w:r>
              <w:rPr>
                <w:sz w:val="21"/>
              </w:rPr>
              <w:t>组织的角色、职责和权限</w:t>
            </w:r>
          </w:p>
        </w:tc>
        <w:tc>
          <w:tcPr>
            <w:tcW w:w="1135" w:type="dxa"/>
          </w:tcPr>
          <w:p>
            <w:pPr>
              <w:pStyle w:val="TableParagraph"/>
              <w:spacing w:before="36"/>
              <w:rPr>
                <w:rFonts w:ascii="Times New Roman"/>
                <w:sz w:val="21"/>
              </w:rPr>
            </w:pPr>
            <w:r>
              <w:rPr>
                <w:rFonts w:ascii="Times New Roman"/>
                <w:sz w:val="21"/>
              </w:rPr>
              <w:t>5.3</w:t>
            </w:r>
          </w:p>
        </w:tc>
        <w:tc>
          <w:tcPr>
            <w:tcW w:w="1135" w:type="dxa"/>
          </w:tcPr>
          <w:p>
            <w:pPr>
              <w:pStyle w:val="TableParagraph"/>
              <w:spacing w:before="36"/>
              <w:rPr>
                <w:rFonts w:ascii="Times New Roman"/>
                <w:sz w:val="21"/>
              </w:rPr>
            </w:pPr>
            <w:r>
              <w:rPr>
                <w:rFonts w:ascii="Times New Roman"/>
                <w:sz w:val="21"/>
              </w:rPr>
              <w:t>4.4.1</w:t>
            </w:r>
          </w:p>
        </w:tc>
        <w:tc>
          <w:tcPr>
            <w:tcW w:w="3651" w:type="dxa"/>
          </w:tcPr>
          <w:p>
            <w:pPr>
              <w:pStyle w:val="TableParagraph"/>
              <w:spacing w:before="22"/>
              <w:rPr>
                <w:sz w:val="21"/>
              </w:rPr>
            </w:pPr>
            <w:r>
              <w:rPr>
                <w:sz w:val="21"/>
              </w:rPr>
              <w:t>资源、作用、职责、责任和权限</w:t>
            </w:r>
          </w:p>
        </w:tc>
      </w:tr>
      <w:tr>
        <w:trPr>
          <w:trHeight w:val="312" w:hRule="atLeast"/>
        </w:trPr>
        <w:tc>
          <w:tcPr>
            <w:tcW w:w="3684" w:type="dxa"/>
          </w:tcPr>
          <w:p>
            <w:pPr>
              <w:pStyle w:val="TableParagraph"/>
              <w:spacing w:before="21"/>
              <w:rPr>
                <w:sz w:val="21"/>
              </w:rPr>
            </w:pPr>
            <w:r>
              <w:rPr>
                <w:sz w:val="21"/>
              </w:rPr>
              <w:t>工作人员的协商和参与</w:t>
            </w:r>
          </w:p>
        </w:tc>
        <w:tc>
          <w:tcPr>
            <w:tcW w:w="1135" w:type="dxa"/>
          </w:tcPr>
          <w:p>
            <w:pPr>
              <w:pStyle w:val="TableParagraph"/>
              <w:spacing w:before="35"/>
              <w:rPr>
                <w:rFonts w:ascii="Times New Roman"/>
                <w:sz w:val="21"/>
              </w:rPr>
            </w:pPr>
            <w:r>
              <w:rPr>
                <w:rFonts w:ascii="Times New Roman"/>
                <w:sz w:val="21"/>
              </w:rPr>
              <w:t>5.4</w:t>
            </w:r>
          </w:p>
        </w:tc>
        <w:tc>
          <w:tcPr>
            <w:tcW w:w="1135" w:type="dxa"/>
          </w:tcPr>
          <w:p>
            <w:pPr>
              <w:pStyle w:val="TableParagraph"/>
              <w:spacing w:before="35"/>
              <w:rPr>
                <w:rFonts w:ascii="Times New Roman"/>
                <w:sz w:val="21"/>
              </w:rPr>
            </w:pPr>
            <w:r>
              <w:rPr>
                <w:rFonts w:ascii="Times New Roman"/>
                <w:sz w:val="21"/>
              </w:rPr>
              <w:t>4.4.3.2</w:t>
            </w:r>
          </w:p>
        </w:tc>
        <w:tc>
          <w:tcPr>
            <w:tcW w:w="3651" w:type="dxa"/>
          </w:tcPr>
          <w:p>
            <w:pPr>
              <w:pStyle w:val="TableParagraph"/>
              <w:spacing w:before="21"/>
              <w:rPr>
                <w:sz w:val="21"/>
              </w:rPr>
            </w:pPr>
            <w:r>
              <w:rPr>
                <w:sz w:val="21"/>
              </w:rPr>
              <w:t>参与和协商</w:t>
            </w:r>
          </w:p>
        </w:tc>
      </w:tr>
      <w:tr>
        <w:trPr>
          <w:trHeight w:val="312" w:hRule="atLeast"/>
        </w:trPr>
        <w:tc>
          <w:tcPr>
            <w:tcW w:w="3684" w:type="dxa"/>
          </w:tcPr>
          <w:p>
            <w:pPr>
              <w:pStyle w:val="TableParagraph"/>
              <w:spacing w:before="21"/>
              <w:rPr>
                <w:sz w:val="21"/>
              </w:rPr>
            </w:pPr>
            <w:r>
              <w:rPr>
                <w:sz w:val="21"/>
              </w:rPr>
              <w:t>策划（仅标题）</w:t>
            </w:r>
          </w:p>
        </w:tc>
        <w:tc>
          <w:tcPr>
            <w:tcW w:w="1135" w:type="dxa"/>
          </w:tcPr>
          <w:p>
            <w:pPr>
              <w:pStyle w:val="TableParagraph"/>
              <w:spacing w:before="35"/>
              <w:rPr>
                <w:rFonts w:ascii="Times New Roman"/>
                <w:sz w:val="21"/>
              </w:rPr>
            </w:pPr>
            <w:r>
              <w:rPr>
                <w:rFonts w:ascii="Times New Roman"/>
                <w:w w:val="99"/>
                <w:sz w:val="21"/>
              </w:rPr>
              <w:t>6</w:t>
            </w:r>
          </w:p>
        </w:tc>
        <w:tc>
          <w:tcPr>
            <w:tcW w:w="1135" w:type="dxa"/>
          </w:tcPr>
          <w:p>
            <w:pPr>
              <w:pStyle w:val="TableParagraph"/>
              <w:spacing w:before="35"/>
              <w:rPr>
                <w:rFonts w:ascii="Times New Roman"/>
                <w:sz w:val="21"/>
              </w:rPr>
            </w:pPr>
            <w:r>
              <w:rPr>
                <w:rFonts w:ascii="Times New Roman"/>
                <w:sz w:val="21"/>
              </w:rPr>
              <w:t>4.3</w:t>
            </w:r>
          </w:p>
        </w:tc>
        <w:tc>
          <w:tcPr>
            <w:tcW w:w="3651" w:type="dxa"/>
          </w:tcPr>
          <w:p>
            <w:pPr>
              <w:pStyle w:val="TableParagraph"/>
              <w:spacing w:before="21"/>
              <w:rPr>
                <w:sz w:val="21"/>
              </w:rPr>
            </w:pPr>
            <w:r>
              <w:rPr>
                <w:sz w:val="21"/>
              </w:rPr>
              <w:t>策划（仅标题）</w:t>
            </w:r>
          </w:p>
        </w:tc>
      </w:tr>
      <w:tr>
        <w:trPr>
          <w:trHeight w:val="311" w:hRule="atLeast"/>
        </w:trPr>
        <w:tc>
          <w:tcPr>
            <w:tcW w:w="3684" w:type="dxa"/>
            <w:vMerge w:val="restart"/>
          </w:tcPr>
          <w:p>
            <w:pPr>
              <w:pStyle w:val="TableParagraph"/>
              <w:spacing w:before="4"/>
              <w:ind w:left="0"/>
              <w:rPr>
                <w:rFonts w:ascii="黑体"/>
                <w:sz w:val="26"/>
              </w:rPr>
            </w:pPr>
          </w:p>
          <w:p>
            <w:pPr>
              <w:pStyle w:val="TableParagraph"/>
              <w:rPr>
                <w:sz w:val="21"/>
              </w:rPr>
            </w:pPr>
            <w:r>
              <w:rPr>
                <w:sz w:val="21"/>
              </w:rPr>
              <w:t>应对风险和机遇的措施（仅标题）</w:t>
            </w:r>
          </w:p>
        </w:tc>
        <w:tc>
          <w:tcPr>
            <w:tcW w:w="1135" w:type="dxa"/>
            <w:vMerge w:val="restart"/>
          </w:tcPr>
          <w:p>
            <w:pPr>
              <w:pStyle w:val="TableParagraph"/>
              <w:spacing w:before="5"/>
              <w:ind w:left="0"/>
              <w:rPr>
                <w:rFonts w:ascii="黑体"/>
                <w:sz w:val="27"/>
              </w:rPr>
            </w:pPr>
          </w:p>
          <w:p>
            <w:pPr>
              <w:pStyle w:val="TableParagraph"/>
              <w:rPr>
                <w:rFonts w:ascii="Times New Roman"/>
                <w:sz w:val="21"/>
              </w:rPr>
            </w:pPr>
            <w:r>
              <w:rPr>
                <w:rFonts w:ascii="Times New Roman"/>
                <w:sz w:val="21"/>
              </w:rPr>
              <w:t>6.1</w:t>
            </w:r>
          </w:p>
        </w:tc>
        <w:tc>
          <w:tcPr>
            <w:tcW w:w="1135" w:type="dxa"/>
          </w:tcPr>
          <w:p>
            <w:pPr>
              <w:pStyle w:val="TableParagraph"/>
              <w:spacing w:before="34"/>
              <w:rPr>
                <w:rFonts w:ascii="Times New Roman"/>
                <w:sz w:val="21"/>
              </w:rPr>
            </w:pPr>
            <w:r>
              <w:rPr>
                <w:rFonts w:ascii="Times New Roman"/>
                <w:sz w:val="21"/>
              </w:rPr>
              <w:t>4.1</w:t>
            </w:r>
          </w:p>
        </w:tc>
        <w:tc>
          <w:tcPr>
            <w:tcW w:w="3651" w:type="dxa"/>
          </w:tcPr>
          <w:p>
            <w:pPr>
              <w:pStyle w:val="TableParagraph"/>
              <w:spacing w:before="20"/>
              <w:rPr>
                <w:sz w:val="21"/>
              </w:rPr>
            </w:pPr>
            <w:r>
              <w:rPr>
                <w:sz w:val="21"/>
              </w:rPr>
              <w:t>总要求</w:t>
            </w:r>
          </w:p>
        </w:tc>
      </w:tr>
      <w:tr>
        <w:trPr>
          <w:trHeight w:val="624" w:hRule="atLeast"/>
        </w:trPr>
        <w:tc>
          <w:tcPr>
            <w:tcW w:w="3684" w:type="dxa"/>
            <w:vMerge/>
            <w:tcBorders>
              <w:top w:val="nil"/>
            </w:tcBorders>
          </w:tcPr>
          <w:p>
            <w:pPr>
              <w:rPr>
                <w:sz w:val="2"/>
                <w:szCs w:val="2"/>
              </w:rPr>
            </w:pPr>
          </w:p>
        </w:tc>
        <w:tc>
          <w:tcPr>
            <w:tcW w:w="1135" w:type="dxa"/>
            <w:vMerge/>
            <w:tcBorders>
              <w:top w:val="nil"/>
            </w:tcBorders>
          </w:tcPr>
          <w:p>
            <w:pPr>
              <w:rPr>
                <w:sz w:val="2"/>
                <w:szCs w:val="2"/>
              </w:rPr>
            </w:pPr>
          </w:p>
        </w:tc>
        <w:tc>
          <w:tcPr>
            <w:tcW w:w="1135" w:type="dxa"/>
          </w:tcPr>
          <w:p>
            <w:pPr>
              <w:pStyle w:val="TableParagraph"/>
              <w:spacing w:before="190"/>
              <w:rPr>
                <w:rFonts w:ascii="Times New Roman"/>
                <w:sz w:val="21"/>
              </w:rPr>
            </w:pPr>
            <w:r>
              <w:rPr>
                <w:rFonts w:ascii="Times New Roman"/>
                <w:sz w:val="21"/>
              </w:rPr>
              <w:t>4.3.1</w:t>
            </w:r>
          </w:p>
        </w:tc>
        <w:tc>
          <w:tcPr>
            <w:tcW w:w="3651" w:type="dxa"/>
          </w:tcPr>
          <w:p>
            <w:pPr>
              <w:pStyle w:val="TableParagraph"/>
              <w:spacing w:before="20"/>
              <w:rPr>
                <w:sz w:val="21"/>
              </w:rPr>
            </w:pPr>
            <w:r>
              <w:rPr>
                <w:sz w:val="21"/>
              </w:rPr>
              <w:t>危险源辨识、风险评价和控制措施的</w:t>
            </w:r>
          </w:p>
          <w:p>
            <w:pPr>
              <w:pStyle w:val="TableParagraph"/>
              <w:spacing w:before="43"/>
              <w:rPr>
                <w:sz w:val="21"/>
              </w:rPr>
            </w:pPr>
            <w:r>
              <w:rPr>
                <w:sz w:val="21"/>
              </w:rPr>
              <w:t>确定</w:t>
            </w:r>
          </w:p>
        </w:tc>
      </w:tr>
      <w:tr>
        <w:trPr>
          <w:trHeight w:val="312" w:hRule="atLeast"/>
        </w:trPr>
        <w:tc>
          <w:tcPr>
            <w:tcW w:w="3684" w:type="dxa"/>
          </w:tcPr>
          <w:p>
            <w:pPr>
              <w:pStyle w:val="TableParagraph"/>
              <w:spacing w:before="20"/>
              <w:rPr>
                <w:sz w:val="21"/>
              </w:rPr>
            </w:pPr>
            <w:r>
              <w:rPr>
                <w:sz w:val="21"/>
              </w:rPr>
              <w:t>总则</w:t>
            </w:r>
          </w:p>
        </w:tc>
        <w:tc>
          <w:tcPr>
            <w:tcW w:w="1135" w:type="dxa"/>
          </w:tcPr>
          <w:p>
            <w:pPr>
              <w:pStyle w:val="TableParagraph"/>
              <w:spacing w:before="34"/>
              <w:rPr>
                <w:rFonts w:ascii="Times New Roman"/>
                <w:sz w:val="21"/>
              </w:rPr>
            </w:pPr>
            <w:r>
              <w:rPr>
                <w:rFonts w:ascii="Times New Roman"/>
                <w:sz w:val="21"/>
              </w:rPr>
              <w:t>6.1.1</w:t>
            </w:r>
          </w:p>
        </w:tc>
        <w:tc>
          <w:tcPr>
            <w:tcW w:w="1135" w:type="dxa"/>
          </w:tcPr>
          <w:p>
            <w:pPr>
              <w:pStyle w:val="TableParagraph"/>
              <w:spacing w:before="34"/>
              <w:rPr>
                <w:rFonts w:ascii="Times New Roman"/>
                <w:sz w:val="21"/>
              </w:rPr>
            </w:pPr>
            <w:r>
              <w:rPr>
                <w:rFonts w:ascii="Times New Roman"/>
                <w:sz w:val="21"/>
              </w:rPr>
              <w:t>4.4.6</w:t>
            </w:r>
          </w:p>
        </w:tc>
        <w:tc>
          <w:tcPr>
            <w:tcW w:w="3651" w:type="dxa"/>
          </w:tcPr>
          <w:p>
            <w:pPr>
              <w:pStyle w:val="TableParagraph"/>
              <w:spacing w:before="20"/>
              <w:rPr>
                <w:sz w:val="21"/>
              </w:rPr>
            </w:pPr>
            <w:r>
              <w:rPr>
                <w:sz w:val="21"/>
              </w:rPr>
              <w:t>运行控制</w:t>
            </w:r>
          </w:p>
        </w:tc>
      </w:tr>
      <w:tr>
        <w:trPr>
          <w:trHeight w:val="623" w:hRule="atLeast"/>
        </w:trPr>
        <w:tc>
          <w:tcPr>
            <w:tcW w:w="3684" w:type="dxa"/>
          </w:tcPr>
          <w:p>
            <w:pPr>
              <w:pStyle w:val="TableParagraph"/>
              <w:spacing w:before="22"/>
              <w:rPr>
                <w:sz w:val="21"/>
              </w:rPr>
            </w:pPr>
            <w:r>
              <w:rPr>
                <w:spacing w:val="-8"/>
                <w:sz w:val="21"/>
              </w:rPr>
              <w:t>危险源辨识及风险和机遇的评价</w:t>
            </w:r>
            <w:r>
              <w:rPr>
                <w:sz w:val="21"/>
              </w:rPr>
              <w:t>（仅标</w:t>
            </w:r>
          </w:p>
          <w:p>
            <w:pPr>
              <w:pStyle w:val="TableParagraph"/>
              <w:spacing w:before="43"/>
              <w:rPr>
                <w:sz w:val="21"/>
              </w:rPr>
            </w:pPr>
            <w:r>
              <w:rPr>
                <w:sz w:val="21"/>
              </w:rPr>
              <w:t>题）</w:t>
            </w:r>
          </w:p>
        </w:tc>
        <w:tc>
          <w:tcPr>
            <w:tcW w:w="1135" w:type="dxa"/>
          </w:tcPr>
          <w:p>
            <w:pPr>
              <w:pStyle w:val="TableParagraph"/>
              <w:spacing w:before="192"/>
              <w:rPr>
                <w:rFonts w:ascii="Times New Roman"/>
                <w:sz w:val="21"/>
              </w:rPr>
            </w:pPr>
            <w:r>
              <w:rPr>
                <w:rFonts w:ascii="Times New Roman"/>
                <w:sz w:val="21"/>
              </w:rPr>
              <w:t>6.1.2</w:t>
            </w:r>
          </w:p>
        </w:tc>
        <w:tc>
          <w:tcPr>
            <w:tcW w:w="1135" w:type="dxa"/>
            <w:vMerge w:val="restart"/>
          </w:tcPr>
          <w:p>
            <w:pPr>
              <w:pStyle w:val="TableParagraph"/>
              <w:ind w:left="0"/>
              <w:rPr>
                <w:rFonts w:ascii="黑体"/>
                <w:sz w:val="22"/>
              </w:rPr>
            </w:pPr>
          </w:p>
          <w:p>
            <w:pPr>
              <w:pStyle w:val="TableParagraph"/>
              <w:spacing w:before="1"/>
              <w:ind w:left="0"/>
              <w:rPr>
                <w:rFonts w:ascii="黑体"/>
                <w:sz w:val="18"/>
              </w:rPr>
            </w:pPr>
          </w:p>
          <w:p>
            <w:pPr>
              <w:pStyle w:val="TableParagraph"/>
              <w:rPr>
                <w:rFonts w:ascii="Times New Roman"/>
                <w:sz w:val="21"/>
              </w:rPr>
            </w:pPr>
            <w:r>
              <w:rPr>
                <w:rFonts w:ascii="Times New Roman"/>
                <w:sz w:val="21"/>
              </w:rPr>
              <w:t>4.3.1</w:t>
            </w:r>
          </w:p>
        </w:tc>
        <w:tc>
          <w:tcPr>
            <w:tcW w:w="3651" w:type="dxa"/>
            <w:vMerge w:val="restart"/>
          </w:tcPr>
          <w:p>
            <w:pPr>
              <w:pStyle w:val="TableParagraph"/>
              <w:spacing w:before="10"/>
              <w:ind w:left="0"/>
              <w:rPr>
                <w:rFonts w:ascii="黑体"/>
                <w:sz w:val="26"/>
              </w:rPr>
            </w:pPr>
          </w:p>
          <w:p>
            <w:pPr>
              <w:pStyle w:val="TableParagraph"/>
              <w:spacing w:line="278" w:lineRule="auto"/>
              <w:ind w:right="95"/>
              <w:rPr>
                <w:sz w:val="21"/>
              </w:rPr>
            </w:pPr>
            <w:r>
              <w:rPr>
                <w:w w:val="95"/>
                <w:sz w:val="21"/>
              </w:rPr>
              <w:t>危险源辨识、风险评价和控制措施的</w:t>
            </w:r>
            <w:r>
              <w:rPr>
                <w:sz w:val="21"/>
              </w:rPr>
              <w:t>确定</w:t>
            </w:r>
          </w:p>
        </w:tc>
      </w:tr>
      <w:tr>
        <w:trPr>
          <w:trHeight w:val="312" w:hRule="atLeast"/>
        </w:trPr>
        <w:tc>
          <w:tcPr>
            <w:tcW w:w="3684" w:type="dxa"/>
          </w:tcPr>
          <w:p>
            <w:pPr>
              <w:pStyle w:val="TableParagraph"/>
              <w:spacing w:before="21"/>
              <w:rPr>
                <w:sz w:val="21"/>
              </w:rPr>
            </w:pPr>
            <w:r>
              <w:rPr>
                <w:sz w:val="21"/>
              </w:rPr>
              <w:t>危险源辨识</w:t>
            </w:r>
          </w:p>
        </w:tc>
        <w:tc>
          <w:tcPr>
            <w:tcW w:w="1135" w:type="dxa"/>
          </w:tcPr>
          <w:p>
            <w:pPr>
              <w:pStyle w:val="TableParagraph"/>
              <w:spacing w:before="35"/>
              <w:rPr>
                <w:rFonts w:ascii="Times New Roman"/>
                <w:sz w:val="21"/>
              </w:rPr>
            </w:pPr>
            <w:r>
              <w:rPr>
                <w:rFonts w:ascii="Times New Roman"/>
                <w:sz w:val="21"/>
              </w:rPr>
              <w:t>6.1.2.1</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310" w:hRule="atLeast"/>
        </w:trPr>
        <w:tc>
          <w:tcPr>
            <w:tcW w:w="3684" w:type="dxa"/>
          </w:tcPr>
          <w:p>
            <w:pPr>
              <w:pStyle w:val="TableParagraph"/>
              <w:spacing w:line="269" w:lineRule="exact" w:before="21"/>
              <w:rPr>
                <w:sz w:val="21"/>
              </w:rPr>
            </w:pPr>
            <w:r>
              <w:rPr>
                <w:sz w:val="21"/>
              </w:rPr>
              <w:t>职业健康安全风险和职业健康安全管</w:t>
            </w:r>
          </w:p>
        </w:tc>
        <w:tc>
          <w:tcPr>
            <w:tcW w:w="1135" w:type="dxa"/>
          </w:tcPr>
          <w:p>
            <w:pPr>
              <w:pStyle w:val="TableParagraph"/>
              <w:spacing w:before="35"/>
              <w:rPr>
                <w:rFonts w:ascii="Times New Roman"/>
                <w:sz w:val="21"/>
              </w:rPr>
            </w:pPr>
            <w:r>
              <w:rPr>
                <w:rFonts w:ascii="Times New Roman"/>
                <w:sz w:val="21"/>
              </w:rPr>
              <w:t>6.1.2.2</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bl>
    <w:p>
      <w:pPr>
        <w:spacing w:after="0"/>
        <w:rPr>
          <w:sz w:val="2"/>
          <w:szCs w:val="2"/>
        </w:rPr>
        <w:sectPr>
          <w:pgSz w:w="11910" w:h="16840"/>
          <w:pgMar w:header="1442" w:footer="850" w:top="1660" w:bottom="1040" w:left="1140" w:right="740"/>
        </w:sectPr>
      </w:pPr>
    </w:p>
    <w:p>
      <w:pPr>
        <w:pStyle w:val="BodyText"/>
        <w:spacing w:before="10"/>
        <w:rPr>
          <w:rFonts w:ascii="Times New Roman"/>
          <w:sz w:val="11"/>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4"/>
        <w:gridCol w:w="1135"/>
        <w:gridCol w:w="1135"/>
        <w:gridCol w:w="3651"/>
      </w:tblGrid>
      <w:tr>
        <w:trPr>
          <w:trHeight w:val="312" w:hRule="atLeast"/>
        </w:trPr>
        <w:tc>
          <w:tcPr>
            <w:tcW w:w="4819" w:type="dxa"/>
            <w:gridSpan w:val="2"/>
          </w:tcPr>
          <w:p>
            <w:pPr>
              <w:pStyle w:val="TableParagraph"/>
              <w:spacing w:before="21"/>
              <w:ind w:left="1569"/>
              <w:rPr>
                <w:rFonts w:ascii="Times New Roman" w:hAnsi="Times New Roman"/>
                <w:sz w:val="21"/>
              </w:rPr>
            </w:pPr>
            <w:r>
              <w:rPr>
                <w:rFonts w:ascii="Times New Roman" w:hAnsi="Times New Roman"/>
                <w:sz w:val="21"/>
              </w:rPr>
              <w:t>GB/T 45001</w:t>
            </w:r>
            <w:r>
              <w:rPr>
                <w:sz w:val="21"/>
              </w:rPr>
              <w:t>—</w:t>
            </w:r>
            <w:r>
              <w:rPr>
                <w:rFonts w:ascii="Times New Roman" w:hAnsi="Times New Roman"/>
                <w:sz w:val="21"/>
              </w:rPr>
              <w:t>2020</w:t>
            </w:r>
          </w:p>
        </w:tc>
        <w:tc>
          <w:tcPr>
            <w:tcW w:w="4786" w:type="dxa"/>
            <w:gridSpan w:val="2"/>
          </w:tcPr>
          <w:p>
            <w:pPr>
              <w:pStyle w:val="TableParagraph"/>
              <w:spacing w:before="34"/>
              <w:ind w:left="1555"/>
              <w:rPr>
                <w:rFonts w:ascii="Times New Roman" w:hAnsi="Times New Roman"/>
                <w:sz w:val="21"/>
              </w:rPr>
            </w:pPr>
            <w:r>
              <w:rPr>
                <w:rFonts w:ascii="Times New Roman" w:hAnsi="Times New Roman"/>
                <w:sz w:val="21"/>
              </w:rPr>
              <w:t>GB/T 28001—2011</w:t>
            </w:r>
          </w:p>
        </w:tc>
      </w:tr>
      <w:tr>
        <w:trPr>
          <w:trHeight w:val="312" w:hRule="atLeast"/>
        </w:trPr>
        <w:tc>
          <w:tcPr>
            <w:tcW w:w="3684" w:type="dxa"/>
          </w:tcPr>
          <w:p>
            <w:pPr>
              <w:pStyle w:val="TableParagraph"/>
              <w:spacing w:before="20"/>
              <w:ind w:left="1399" w:right="1394"/>
              <w:jc w:val="center"/>
              <w:rPr>
                <w:sz w:val="21"/>
              </w:rPr>
            </w:pPr>
            <w:r>
              <w:rPr>
                <w:sz w:val="21"/>
              </w:rPr>
              <w:t>章条标题</w:t>
            </w:r>
          </w:p>
        </w:tc>
        <w:tc>
          <w:tcPr>
            <w:tcW w:w="1135" w:type="dxa"/>
          </w:tcPr>
          <w:p>
            <w:pPr>
              <w:pStyle w:val="TableParagraph"/>
              <w:spacing w:before="20"/>
              <w:ind w:left="252"/>
              <w:rPr>
                <w:sz w:val="21"/>
              </w:rPr>
            </w:pPr>
            <w:r>
              <w:rPr>
                <w:sz w:val="21"/>
              </w:rPr>
              <w:t>章条号</w:t>
            </w:r>
          </w:p>
        </w:tc>
        <w:tc>
          <w:tcPr>
            <w:tcW w:w="1135" w:type="dxa"/>
          </w:tcPr>
          <w:p>
            <w:pPr>
              <w:pStyle w:val="TableParagraph"/>
              <w:spacing w:before="20"/>
              <w:ind w:left="252"/>
              <w:rPr>
                <w:sz w:val="21"/>
              </w:rPr>
            </w:pPr>
            <w:r>
              <w:rPr>
                <w:sz w:val="21"/>
              </w:rPr>
              <w:t>章条号</w:t>
            </w:r>
          </w:p>
        </w:tc>
        <w:tc>
          <w:tcPr>
            <w:tcW w:w="3651" w:type="dxa"/>
          </w:tcPr>
          <w:p>
            <w:pPr>
              <w:pStyle w:val="TableParagraph"/>
              <w:spacing w:before="20"/>
              <w:ind w:left="1383" w:right="1378"/>
              <w:jc w:val="center"/>
              <w:rPr>
                <w:sz w:val="21"/>
              </w:rPr>
            </w:pPr>
            <w:r>
              <w:rPr>
                <w:sz w:val="21"/>
              </w:rPr>
              <w:t>章条标题</w:t>
            </w:r>
          </w:p>
        </w:tc>
      </w:tr>
      <w:tr>
        <w:trPr>
          <w:trHeight w:val="311" w:hRule="atLeast"/>
        </w:trPr>
        <w:tc>
          <w:tcPr>
            <w:tcW w:w="3684" w:type="dxa"/>
          </w:tcPr>
          <w:p>
            <w:pPr>
              <w:pStyle w:val="TableParagraph"/>
              <w:spacing w:before="20"/>
              <w:rPr>
                <w:sz w:val="21"/>
              </w:rPr>
            </w:pPr>
            <w:r>
              <w:rPr>
                <w:sz w:val="21"/>
              </w:rPr>
              <w:t>理体系的其他风险的评价</w:t>
            </w:r>
          </w:p>
        </w:tc>
        <w:tc>
          <w:tcPr>
            <w:tcW w:w="1135" w:type="dxa"/>
          </w:tcPr>
          <w:p>
            <w:pPr>
              <w:pStyle w:val="TableParagraph"/>
              <w:ind w:left="0"/>
              <w:rPr>
                <w:rFonts w:ascii="Times New Roman"/>
                <w:sz w:val="20"/>
              </w:rPr>
            </w:pPr>
          </w:p>
        </w:tc>
        <w:tc>
          <w:tcPr>
            <w:tcW w:w="1135" w:type="dxa"/>
          </w:tcPr>
          <w:p>
            <w:pPr>
              <w:pStyle w:val="TableParagraph"/>
              <w:ind w:left="0"/>
              <w:rPr>
                <w:rFonts w:ascii="Times New Roman"/>
                <w:sz w:val="20"/>
              </w:rPr>
            </w:pPr>
          </w:p>
        </w:tc>
        <w:tc>
          <w:tcPr>
            <w:tcW w:w="3651" w:type="dxa"/>
          </w:tcPr>
          <w:p>
            <w:pPr>
              <w:pStyle w:val="TableParagraph"/>
              <w:ind w:left="0"/>
              <w:rPr>
                <w:rFonts w:ascii="Times New Roman"/>
                <w:sz w:val="20"/>
              </w:rPr>
            </w:pPr>
          </w:p>
        </w:tc>
      </w:tr>
      <w:tr>
        <w:trPr>
          <w:trHeight w:val="624" w:hRule="atLeast"/>
        </w:trPr>
        <w:tc>
          <w:tcPr>
            <w:tcW w:w="3684" w:type="dxa"/>
          </w:tcPr>
          <w:p>
            <w:pPr>
              <w:pStyle w:val="TableParagraph"/>
              <w:spacing w:before="22"/>
              <w:rPr>
                <w:sz w:val="21"/>
              </w:rPr>
            </w:pPr>
            <w:r>
              <w:rPr>
                <w:sz w:val="21"/>
              </w:rPr>
              <w:t>职业健康安全机遇和职业健康安全管</w:t>
            </w:r>
          </w:p>
          <w:p>
            <w:pPr>
              <w:pStyle w:val="TableParagraph"/>
              <w:spacing w:before="43"/>
              <w:rPr>
                <w:sz w:val="21"/>
              </w:rPr>
            </w:pPr>
            <w:r>
              <w:rPr>
                <w:sz w:val="21"/>
              </w:rPr>
              <w:t>理体系的其他机遇的评价</w:t>
            </w:r>
          </w:p>
        </w:tc>
        <w:tc>
          <w:tcPr>
            <w:tcW w:w="1135" w:type="dxa"/>
          </w:tcPr>
          <w:p>
            <w:pPr>
              <w:pStyle w:val="TableParagraph"/>
              <w:spacing w:before="192"/>
              <w:rPr>
                <w:rFonts w:ascii="Times New Roman"/>
                <w:sz w:val="21"/>
              </w:rPr>
            </w:pPr>
            <w:r>
              <w:rPr>
                <w:rFonts w:ascii="Times New Roman"/>
                <w:sz w:val="21"/>
              </w:rPr>
              <w:t>6.1.2.3</w:t>
            </w:r>
          </w:p>
        </w:tc>
        <w:tc>
          <w:tcPr>
            <w:tcW w:w="1135" w:type="dxa"/>
          </w:tcPr>
          <w:p>
            <w:pPr>
              <w:pStyle w:val="TableParagraph"/>
              <w:spacing w:before="178"/>
              <w:ind w:left="355"/>
              <w:rPr>
                <w:sz w:val="21"/>
              </w:rPr>
            </w:pPr>
            <w:r>
              <w:rPr>
                <w:sz w:val="21"/>
              </w:rPr>
              <w:t>——</w:t>
            </w:r>
          </w:p>
        </w:tc>
        <w:tc>
          <w:tcPr>
            <w:tcW w:w="3651" w:type="dxa"/>
          </w:tcPr>
          <w:p>
            <w:pPr>
              <w:pStyle w:val="TableParagraph"/>
              <w:spacing w:before="178"/>
              <w:rPr>
                <w:sz w:val="21"/>
              </w:rPr>
            </w:pPr>
            <w:r>
              <w:rPr>
                <w:sz w:val="21"/>
              </w:rPr>
              <w:t>新要求</w:t>
            </w:r>
          </w:p>
        </w:tc>
      </w:tr>
      <w:tr>
        <w:trPr>
          <w:trHeight w:val="312" w:hRule="atLeast"/>
        </w:trPr>
        <w:tc>
          <w:tcPr>
            <w:tcW w:w="3684" w:type="dxa"/>
          </w:tcPr>
          <w:p>
            <w:pPr>
              <w:pStyle w:val="TableParagraph"/>
              <w:spacing w:before="21"/>
              <w:rPr>
                <w:sz w:val="21"/>
              </w:rPr>
            </w:pPr>
            <w:r>
              <w:rPr>
                <w:sz w:val="21"/>
              </w:rPr>
              <w:t>法律法规要求和其他要求的确定</w:t>
            </w:r>
          </w:p>
        </w:tc>
        <w:tc>
          <w:tcPr>
            <w:tcW w:w="1135" w:type="dxa"/>
          </w:tcPr>
          <w:p>
            <w:pPr>
              <w:pStyle w:val="TableParagraph"/>
              <w:spacing w:before="35"/>
              <w:rPr>
                <w:rFonts w:ascii="Times New Roman"/>
                <w:sz w:val="21"/>
              </w:rPr>
            </w:pPr>
            <w:r>
              <w:rPr>
                <w:rFonts w:ascii="Times New Roman"/>
                <w:sz w:val="21"/>
              </w:rPr>
              <w:t>6.1.3</w:t>
            </w:r>
          </w:p>
        </w:tc>
        <w:tc>
          <w:tcPr>
            <w:tcW w:w="1135" w:type="dxa"/>
          </w:tcPr>
          <w:p>
            <w:pPr>
              <w:pStyle w:val="TableParagraph"/>
              <w:spacing w:before="35"/>
              <w:rPr>
                <w:rFonts w:ascii="Times New Roman"/>
                <w:sz w:val="21"/>
              </w:rPr>
            </w:pPr>
            <w:r>
              <w:rPr>
                <w:rFonts w:ascii="Times New Roman"/>
                <w:sz w:val="21"/>
              </w:rPr>
              <w:t>4.3.2</w:t>
            </w:r>
          </w:p>
        </w:tc>
        <w:tc>
          <w:tcPr>
            <w:tcW w:w="3651" w:type="dxa"/>
          </w:tcPr>
          <w:p>
            <w:pPr>
              <w:pStyle w:val="TableParagraph"/>
              <w:spacing w:before="21"/>
              <w:rPr>
                <w:sz w:val="21"/>
              </w:rPr>
            </w:pPr>
            <w:r>
              <w:rPr>
                <w:sz w:val="21"/>
              </w:rPr>
              <w:t>法律法规和其他要求</w:t>
            </w:r>
          </w:p>
        </w:tc>
      </w:tr>
      <w:tr>
        <w:trPr>
          <w:trHeight w:val="312" w:hRule="atLeast"/>
        </w:trPr>
        <w:tc>
          <w:tcPr>
            <w:tcW w:w="3684" w:type="dxa"/>
          </w:tcPr>
          <w:p>
            <w:pPr>
              <w:pStyle w:val="TableParagraph"/>
              <w:spacing w:before="21"/>
              <w:rPr>
                <w:sz w:val="21"/>
              </w:rPr>
            </w:pPr>
            <w:r>
              <w:rPr>
                <w:sz w:val="21"/>
              </w:rPr>
              <w:t>措施的策划</w:t>
            </w:r>
          </w:p>
        </w:tc>
        <w:tc>
          <w:tcPr>
            <w:tcW w:w="1135" w:type="dxa"/>
          </w:tcPr>
          <w:p>
            <w:pPr>
              <w:pStyle w:val="TableParagraph"/>
              <w:spacing w:before="35"/>
              <w:rPr>
                <w:rFonts w:ascii="Times New Roman"/>
                <w:sz w:val="21"/>
              </w:rPr>
            </w:pPr>
            <w:r>
              <w:rPr>
                <w:rFonts w:ascii="Times New Roman"/>
                <w:sz w:val="21"/>
              </w:rPr>
              <w:t>6.1.4</w:t>
            </w:r>
          </w:p>
        </w:tc>
        <w:tc>
          <w:tcPr>
            <w:tcW w:w="1135" w:type="dxa"/>
          </w:tcPr>
          <w:p>
            <w:pPr>
              <w:pStyle w:val="TableParagraph"/>
              <w:spacing w:before="35"/>
              <w:rPr>
                <w:rFonts w:ascii="Times New Roman"/>
                <w:sz w:val="21"/>
              </w:rPr>
            </w:pPr>
            <w:r>
              <w:rPr>
                <w:rFonts w:ascii="Times New Roman"/>
                <w:sz w:val="21"/>
              </w:rPr>
              <w:t>4.4.6</w:t>
            </w:r>
          </w:p>
        </w:tc>
        <w:tc>
          <w:tcPr>
            <w:tcW w:w="3651" w:type="dxa"/>
          </w:tcPr>
          <w:p>
            <w:pPr>
              <w:pStyle w:val="TableParagraph"/>
              <w:spacing w:before="21"/>
              <w:rPr>
                <w:sz w:val="21"/>
              </w:rPr>
            </w:pPr>
            <w:r>
              <w:rPr>
                <w:sz w:val="21"/>
              </w:rPr>
              <w:t>运行控制</w:t>
            </w:r>
          </w:p>
        </w:tc>
      </w:tr>
      <w:tr>
        <w:trPr>
          <w:trHeight w:val="623" w:hRule="atLeast"/>
        </w:trPr>
        <w:tc>
          <w:tcPr>
            <w:tcW w:w="3684" w:type="dxa"/>
          </w:tcPr>
          <w:p>
            <w:pPr>
              <w:pStyle w:val="TableParagraph"/>
              <w:spacing w:before="21"/>
              <w:rPr>
                <w:sz w:val="21"/>
              </w:rPr>
            </w:pPr>
            <w:r>
              <w:rPr>
                <w:spacing w:val="-7"/>
                <w:sz w:val="21"/>
              </w:rPr>
              <w:t>职业健康安全目标及其实现的策划</w:t>
            </w:r>
            <w:r>
              <w:rPr>
                <w:sz w:val="21"/>
              </w:rPr>
              <w:t>（仅</w:t>
            </w:r>
          </w:p>
          <w:p>
            <w:pPr>
              <w:pStyle w:val="TableParagraph"/>
              <w:spacing w:before="42"/>
              <w:rPr>
                <w:sz w:val="21"/>
              </w:rPr>
            </w:pPr>
            <w:r>
              <w:rPr>
                <w:sz w:val="21"/>
              </w:rPr>
              <w:t>标题）</w:t>
            </w:r>
          </w:p>
        </w:tc>
        <w:tc>
          <w:tcPr>
            <w:tcW w:w="1135" w:type="dxa"/>
          </w:tcPr>
          <w:p>
            <w:pPr>
              <w:pStyle w:val="TableParagraph"/>
              <w:spacing w:before="190"/>
              <w:rPr>
                <w:rFonts w:ascii="Times New Roman"/>
                <w:sz w:val="21"/>
              </w:rPr>
            </w:pPr>
            <w:r>
              <w:rPr>
                <w:rFonts w:ascii="Times New Roman"/>
                <w:sz w:val="21"/>
              </w:rPr>
              <w:t>6.2</w:t>
            </w:r>
          </w:p>
        </w:tc>
        <w:tc>
          <w:tcPr>
            <w:tcW w:w="1135" w:type="dxa"/>
            <w:vMerge w:val="restart"/>
          </w:tcPr>
          <w:p>
            <w:pPr>
              <w:pStyle w:val="TableParagraph"/>
              <w:ind w:left="0"/>
              <w:rPr>
                <w:rFonts w:ascii="Times New Roman"/>
                <w:sz w:val="22"/>
              </w:rPr>
            </w:pPr>
          </w:p>
          <w:p>
            <w:pPr>
              <w:pStyle w:val="TableParagraph"/>
              <w:spacing w:before="6"/>
              <w:ind w:left="0"/>
              <w:rPr>
                <w:rFonts w:ascii="Times New Roman"/>
                <w:sz w:val="22"/>
              </w:rPr>
            </w:pPr>
          </w:p>
          <w:p>
            <w:pPr>
              <w:pStyle w:val="TableParagraph"/>
              <w:rPr>
                <w:rFonts w:ascii="Times New Roman"/>
                <w:sz w:val="21"/>
              </w:rPr>
            </w:pPr>
            <w:r>
              <w:rPr>
                <w:rFonts w:ascii="Times New Roman"/>
                <w:sz w:val="21"/>
              </w:rPr>
              <w:t>4.3.3</w:t>
            </w:r>
          </w:p>
        </w:tc>
        <w:tc>
          <w:tcPr>
            <w:tcW w:w="3651" w:type="dxa"/>
            <w:vMerge w:val="restart"/>
          </w:tcPr>
          <w:p>
            <w:pPr>
              <w:pStyle w:val="TableParagraph"/>
              <w:ind w:left="0"/>
              <w:rPr>
                <w:rFonts w:ascii="Times New Roman"/>
                <w:sz w:val="20"/>
              </w:rPr>
            </w:pPr>
          </w:p>
          <w:p>
            <w:pPr>
              <w:pStyle w:val="TableParagraph"/>
              <w:spacing w:before="3"/>
              <w:ind w:left="0"/>
              <w:rPr>
                <w:rFonts w:ascii="Times New Roman"/>
                <w:sz w:val="23"/>
              </w:rPr>
            </w:pPr>
          </w:p>
          <w:p>
            <w:pPr>
              <w:pStyle w:val="TableParagraph"/>
              <w:spacing w:before="1"/>
              <w:rPr>
                <w:sz w:val="21"/>
              </w:rPr>
            </w:pPr>
            <w:r>
              <w:rPr>
                <w:sz w:val="21"/>
              </w:rPr>
              <w:t>目标和方案</w:t>
            </w:r>
          </w:p>
        </w:tc>
      </w:tr>
      <w:tr>
        <w:trPr>
          <w:trHeight w:val="312" w:hRule="atLeast"/>
        </w:trPr>
        <w:tc>
          <w:tcPr>
            <w:tcW w:w="3684" w:type="dxa"/>
          </w:tcPr>
          <w:p>
            <w:pPr>
              <w:pStyle w:val="TableParagraph"/>
              <w:spacing w:before="20"/>
              <w:rPr>
                <w:sz w:val="21"/>
              </w:rPr>
            </w:pPr>
            <w:r>
              <w:rPr>
                <w:sz w:val="21"/>
              </w:rPr>
              <w:t>职业健康安全目标</w:t>
            </w:r>
          </w:p>
        </w:tc>
        <w:tc>
          <w:tcPr>
            <w:tcW w:w="1135" w:type="dxa"/>
          </w:tcPr>
          <w:p>
            <w:pPr>
              <w:pStyle w:val="TableParagraph"/>
              <w:spacing w:before="34"/>
              <w:rPr>
                <w:rFonts w:ascii="Times New Roman"/>
                <w:sz w:val="21"/>
              </w:rPr>
            </w:pPr>
            <w:r>
              <w:rPr>
                <w:rFonts w:ascii="Times New Roman"/>
                <w:sz w:val="21"/>
              </w:rPr>
              <w:t>6.2.1</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311" w:hRule="atLeast"/>
        </w:trPr>
        <w:tc>
          <w:tcPr>
            <w:tcW w:w="3684" w:type="dxa"/>
          </w:tcPr>
          <w:p>
            <w:pPr>
              <w:pStyle w:val="TableParagraph"/>
              <w:spacing w:before="20"/>
              <w:rPr>
                <w:sz w:val="21"/>
              </w:rPr>
            </w:pPr>
            <w:r>
              <w:rPr>
                <w:sz w:val="21"/>
              </w:rPr>
              <w:t>实现职业健康安全目标的策划</w:t>
            </w:r>
          </w:p>
        </w:tc>
        <w:tc>
          <w:tcPr>
            <w:tcW w:w="1135" w:type="dxa"/>
          </w:tcPr>
          <w:p>
            <w:pPr>
              <w:pStyle w:val="TableParagraph"/>
              <w:spacing w:before="34"/>
              <w:rPr>
                <w:rFonts w:ascii="Times New Roman"/>
                <w:sz w:val="21"/>
              </w:rPr>
            </w:pPr>
            <w:r>
              <w:rPr>
                <w:rFonts w:ascii="Times New Roman"/>
                <w:sz w:val="21"/>
              </w:rPr>
              <w:t>6.2.2</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312" w:hRule="atLeast"/>
        </w:trPr>
        <w:tc>
          <w:tcPr>
            <w:tcW w:w="3684" w:type="dxa"/>
          </w:tcPr>
          <w:p>
            <w:pPr>
              <w:pStyle w:val="TableParagraph"/>
              <w:spacing w:before="22"/>
              <w:rPr>
                <w:sz w:val="21"/>
              </w:rPr>
            </w:pPr>
            <w:r>
              <w:rPr>
                <w:sz w:val="21"/>
              </w:rPr>
              <w:t>支持（仅标题）</w:t>
            </w:r>
          </w:p>
        </w:tc>
        <w:tc>
          <w:tcPr>
            <w:tcW w:w="1135" w:type="dxa"/>
          </w:tcPr>
          <w:p>
            <w:pPr>
              <w:pStyle w:val="TableParagraph"/>
              <w:spacing w:before="36"/>
              <w:rPr>
                <w:rFonts w:ascii="Times New Roman"/>
                <w:sz w:val="21"/>
              </w:rPr>
            </w:pPr>
            <w:r>
              <w:rPr>
                <w:rFonts w:ascii="Times New Roman"/>
                <w:w w:val="99"/>
                <w:sz w:val="21"/>
              </w:rPr>
              <w:t>7</w:t>
            </w:r>
          </w:p>
        </w:tc>
        <w:tc>
          <w:tcPr>
            <w:tcW w:w="1135" w:type="dxa"/>
          </w:tcPr>
          <w:p>
            <w:pPr>
              <w:pStyle w:val="TableParagraph"/>
              <w:spacing w:before="36"/>
              <w:rPr>
                <w:rFonts w:ascii="Times New Roman"/>
                <w:sz w:val="21"/>
              </w:rPr>
            </w:pPr>
            <w:r>
              <w:rPr>
                <w:rFonts w:ascii="Times New Roman"/>
                <w:sz w:val="21"/>
              </w:rPr>
              <w:t>4.4</w:t>
            </w:r>
          </w:p>
        </w:tc>
        <w:tc>
          <w:tcPr>
            <w:tcW w:w="3651" w:type="dxa"/>
          </w:tcPr>
          <w:p>
            <w:pPr>
              <w:pStyle w:val="TableParagraph"/>
              <w:spacing w:before="22"/>
              <w:rPr>
                <w:sz w:val="21"/>
              </w:rPr>
            </w:pPr>
            <w:r>
              <w:rPr>
                <w:sz w:val="21"/>
              </w:rPr>
              <w:t>实施和运行（仅标题）</w:t>
            </w:r>
          </w:p>
        </w:tc>
      </w:tr>
      <w:tr>
        <w:trPr>
          <w:trHeight w:val="311" w:hRule="atLeast"/>
        </w:trPr>
        <w:tc>
          <w:tcPr>
            <w:tcW w:w="3684" w:type="dxa"/>
          </w:tcPr>
          <w:p>
            <w:pPr>
              <w:pStyle w:val="TableParagraph"/>
              <w:spacing w:before="21"/>
              <w:rPr>
                <w:sz w:val="21"/>
              </w:rPr>
            </w:pPr>
            <w:r>
              <w:rPr>
                <w:sz w:val="21"/>
              </w:rPr>
              <w:t>资源</w:t>
            </w:r>
          </w:p>
        </w:tc>
        <w:tc>
          <w:tcPr>
            <w:tcW w:w="1135" w:type="dxa"/>
          </w:tcPr>
          <w:p>
            <w:pPr>
              <w:pStyle w:val="TableParagraph"/>
              <w:spacing w:before="35"/>
              <w:rPr>
                <w:rFonts w:ascii="Times New Roman"/>
                <w:sz w:val="21"/>
              </w:rPr>
            </w:pPr>
            <w:r>
              <w:rPr>
                <w:rFonts w:ascii="Times New Roman"/>
                <w:sz w:val="21"/>
              </w:rPr>
              <w:t>7.1</w:t>
            </w:r>
          </w:p>
        </w:tc>
        <w:tc>
          <w:tcPr>
            <w:tcW w:w="1135" w:type="dxa"/>
          </w:tcPr>
          <w:p>
            <w:pPr>
              <w:pStyle w:val="TableParagraph"/>
              <w:spacing w:before="35"/>
              <w:rPr>
                <w:rFonts w:ascii="Times New Roman"/>
                <w:sz w:val="21"/>
              </w:rPr>
            </w:pPr>
            <w:r>
              <w:rPr>
                <w:rFonts w:ascii="Times New Roman"/>
                <w:sz w:val="21"/>
              </w:rPr>
              <w:t>4.4.1</w:t>
            </w:r>
          </w:p>
        </w:tc>
        <w:tc>
          <w:tcPr>
            <w:tcW w:w="3651" w:type="dxa"/>
          </w:tcPr>
          <w:p>
            <w:pPr>
              <w:pStyle w:val="TableParagraph"/>
              <w:spacing w:before="21"/>
              <w:rPr>
                <w:sz w:val="21"/>
              </w:rPr>
            </w:pPr>
            <w:r>
              <w:rPr>
                <w:sz w:val="21"/>
              </w:rPr>
              <w:t>资源、作用、职责、责任和权限</w:t>
            </w:r>
          </w:p>
        </w:tc>
      </w:tr>
      <w:tr>
        <w:trPr>
          <w:trHeight w:val="312" w:hRule="atLeast"/>
        </w:trPr>
        <w:tc>
          <w:tcPr>
            <w:tcW w:w="3684" w:type="dxa"/>
          </w:tcPr>
          <w:p>
            <w:pPr>
              <w:pStyle w:val="TableParagraph"/>
              <w:spacing w:before="21"/>
              <w:rPr>
                <w:sz w:val="21"/>
              </w:rPr>
            </w:pPr>
            <w:r>
              <w:rPr>
                <w:sz w:val="21"/>
              </w:rPr>
              <w:t>能力</w:t>
            </w:r>
          </w:p>
        </w:tc>
        <w:tc>
          <w:tcPr>
            <w:tcW w:w="1135" w:type="dxa"/>
          </w:tcPr>
          <w:p>
            <w:pPr>
              <w:pStyle w:val="TableParagraph"/>
              <w:spacing w:before="35"/>
              <w:rPr>
                <w:rFonts w:ascii="Times New Roman"/>
                <w:sz w:val="21"/>
              </w:rPr>
            </w:pPr>
            <w:r>
              <w:rPr>
                <w:rFonts w:ascii="Times New Roman"/>
                <w:sz w:val="21"/>
              </w:rPr>
              <w:t>7.2</w:t>
            </w:r>
          </w:p>
        </w:tc>
        <w:tc>
          <w:tcPr>
            <w:tcW w:w="1135" w:type="dxa"/>
            <w:vMerge w:val="restart"/>
          </w:tcPr>
          <w:p>
            <w:pPr>
              <w:pStyle w:val="TableParagraph"/>
              <w:spacing w:before="196"/>
              <w:rPr>
                <w:rFonts w:ascii="Times New Roman"/>
                <w:sz w:val="21"/>
              </w:rPr>
            </w:pPr>
            <w:r>
              <w:rPr>
                <w:rFonts w:ascii="Times New Roman"/>
                <w:sz w:val="21"/>
              </w:rPr>
              <w:t>4.4.2</w:t>
            </w:r>
          </w:p>
        </w:tc>
        <w:tc>
          <w:tcPr>
            <w:tcW w:w="3651" w:type="dxa"/>
            <w:vMerge w:val="restart"/>
          </w:tcPr>
          <w:p>
            <w:pPr>
              <w:pStyle w:val="TableParagraph"/>
              <w:spacing w:before="9"/>
              <w:ind w:left="0"/>
              <w:rPr>
                <w:rFonts w:ascii="Times New Roman"/>
                <w:sz w:val="15"/>
              </w:rPr>
            </w:pPr>
          </w:p>
          <w:p>
            <w:pPr>
              <w:pStyle w:val="TableParagraph"/>
              <w:rPr>
                <w:sz w:val="21"/>
              </w:rPr>
            </w:pPr>
            <w:r>
              <w:rPr>
                <w:sz w:val="21"/>
              </w:rPr>
              <w:t>能力、培训和意识</w:t>
            </w:r>
          </w:p>
        </w:tc>
      </w:tr>
      <w:tr>
        <w:trPr>
          <w:trHeight w:val="312" w:hRule="atLeast"/>
        </w:trPr>
        <w:tc>
          <w:tcPr>
            <w:tcW w:w="3684" w:type="dxa"/>
          </w:tcPr>
          <w:p>
            <w:pPr>
              <w:pStyle w:val="TableParagraph"/>
              <w:spacing w:before="20"/>
              <w:rPr>
                <w:sz w:val="21"/>
              </w:rPr>
            </w:pPr>
            <w:r>
              <w:rPr>
                <w:sz w:val="21"/>
              </w:rPr>
              <w:t>意识</w:t>
            </w:r>
          </w:p>
        </w:tc>
        <w:tc>
          <w:tcPr>
            <w:tcW w:w="1135" w:type="dxa"/>
          </w:tcPr>
          <w:p>
            <w:pPr>
              <w:pStyle w:val="TableParagraph"/>
              <w:spacing w:before="34"/>
              <w:rPr>
                <w:rFonts w:ascii="Times New Roman"/>
                <w:sz w:val="21"/>
              </w:rPr>
            </w:pPr>
            <w:r>
              <w:rPr>
                <w:rFonts w:ascii="Times New Roman"/>
                <w:sz w:val="21"/>
              </w:rPr>
              <w:t>7.3</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311" w:hRule="atLeast"/>
        </w:trPr>
        <w:tc>
          <w:tcPr>
            <w:tcW w:w="3684" w:type="dxa"/>
          </w:tcPr>
          <w:p>
            <w:pPr>
              <w:pStyle w:val="TableParagraph"/>
              <w:spacing w:before="20"/>
              <w:rPr>
                <w:sz w:val="21"/>
              </w:rPr>
            </w:pPr>
            <w:r>
              <w:rPr>
                <w:sz w:val="21"/>
              </w:rPr>
              <w:t>沟通（仅标题）</w:t>
            </w:r>
          </w:p>
        </w:tc>
        <w:tc>
          <w:tcPr>
            <w:tcW w:w="1135" w:type="dxa"/>
          </w:tcPr>
          <w:p>
            <w:pPr>
              <w:pStyle w:val="TableParagraph"/>
              <w:spacing w:before="34"/>
              <w:rPr>
                <w:rFonts w:ascii="Times New Roman"/>
                <w:sz w:val="21"/>
              </w:rPr>
            </w:pPr>
            <w:r>
              <w:rPr>
                <w:rFonts w:ascii="Times New Roman"/>
                <w:sz w:val="21"/>
              </w:rPr>
              <w:t>7.4</w:t>
            </w:r>
          </w:p>
        </w:tc>
        <w:tc>
          <w:tcPr>
            <w:tcW w:w="1135" w:type="dxa"/>
            <w:vMerge w:val="restart"/>
          </w:tcPr>
          <w:p>
            <w:pPr>
              <w:pStyle w:val="TableParagraph"/>
              <w:ind w:left="0"/>
              <w:rPr>
                <w:rFonts w:ascii="Times New Roman"/>
                <w:sz w:val="22"/>
              </w:rPr>
            </w:pPr>
          </w:p>
          <w:p>
            <w:pPr>
              <w:pStyle w:val="TableParagraph"/>
              <w:spacing w:before="1"/>
              <w:ind w:left="0"/>
              <w:rPr>
                <w:rFonts w:ascii="Times New Roman"/>
                <w:sz w:val="23"/>
              </w:rPr>
            </w:pPr>
          </w:p>
          <w:p>
            <w:pPr>
              <w:pStyle w:val="TableParagraph"/>
              <w:rPr>
                <w:rFonts w:ascii="Times New Roman"/>
                <w:sz w:val="21"/>
              </w:rPr>
            </w:pPr>
            <w:r>
              <w:rPr>
                <w:rFonts w:ascii="Times New Roman"/>
                <w:sz w:val="21"/>
              </w:rPr>
              <w:t>4.4.3.1</w:t>
            </w:r>
          </w:p>
        </w:tc>
        <w:tc>
          <w:tcPr>
            <w:tcW w:w="3651" w:type="dxa"/>
            <w:vMerge w:val="restart"/>
          </w:tcPr>
          <w:p>
            <w:pPr>
              <w:pStyle w:val="TableParagraph"/>
              <w:ind w:left="0"/>
              <w:rPr>
                <w:rFonts w:ascii="Times New Roman"/>
                <w:sz w:val="20"/>
              </w:rPr>
            </w:pPr>
          </w:p>
          <w:p>
            <w:pPr>
              <w:pStyle w:val="TableParagraph"/>
              <w:spacing w:before="10"/>
              <w:ind w:left="0"/>
              <w:rPr>
                <w:rFonts w:ascii="Times New Roman"/>
                <w:sz w:val="23"/>
              </w:rPr>
            </w:pPr>
          </w:p>
          <w:p>
            <w:pPr>
              <w:pStyle w:val="TableParagraph"/>
              <w:rPr>
                <w:sz w:val="21"/>
              </w:rPr>
            </w:pPr>
            <w:r>
              <w:rPr>
                <w:sz w:val="21"/>
              </w:rPr>
              <w:t>沟通</w:t>
            </w:r>
          </w:p>
        </w:tc>
      </w:tr>
      <w:tr>
        <w:trPr>
          <w:trHeight w:val="312" w:hRule="atLeast"/>
        </w:trPr>
        <w:tc>
          <w:tcPr>
            <w:tcW w:w="3684" w:type="dxa"/>
          </w:tcPr>
          <w:p>
            <w:pPr>
              <w:pStyle w:val="TableParagraph"/>
              <w:spacing w:before="20"/>
              <w:rPr>
                <w:sz w:val="21"/>
              </w:rPr>
            </w:pPr>
            <w:r>
              <w:rPr>
                <w:sz w:val="21"/>
              </w:rPr>
              <w:t>总则</w:t>
            </w:r>
          </w:p>
        </w:tc>
        <w:tc>
          <w:tcPr>
            <w:tcW w:w="1135" w:type="dxa"/>
          </w:tcPr>
          <w:p>
            <w:pPr>
              <w:pStyle w:val="TableParagraph"/>
              <w:spacing w:before="34"/>
              <w:rPr>
                <w:rFonts w:ascii="Times New Roman"/>
                <w:sz w:val="21"/>
              </w:rPr>
            </w:pPr>
            <w:r>
              <w:rPr>
                <w:rFonts w:ascii="Times New Roman"/>
                <w:sz w:val="21"/>
              </w:rPr>
              <w:t>7.4.1</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312" w:hRule="atLeast"/>
        </w:trPr>
        <w:tc>
          <w:tcPr>
            <w:tcW w:w="3684" w:type="dxa"/>
          </w:tcPr>
          <w:p>
            <w:pPr>
              <w:pStyle w:val="TableParagraph"/>
              <w:spacing w:before="22"/>
              <w:rPr>
                <w:sz w:val="21"/>
              </w:rPr>
            </w:pPr>
            <w:r>
              <w:rPr>
                <w:sz w:val="21"/>
              </w:rPr>
              <w:t>内部沟通</w:t>
            </w:r>
          </w:p>
        </w:tc>
        <w:tc>
          <w:tcPr>
            <w:tcW w:w="1135" w:type="dxa"/>
          </w:tcPr>
          <w:p>
            <w:pPr>
              <w:pStyle w:val="TableParagraph"/>
              <w:spacing w:before="36"/>
              <w:rPr>
                <w:rFonts w:ascii="Times New Roman"/>
                <w:sz w:val="21"/>
              </w:rPr>
            </w:pPr>
            <w:r>
              <w:rPr>
                <w:rFonts w:ascii="Times New Roman"/>
                <w:sz w:val="21"/>
              </w:rPr>
              <w:t>7.4.2</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311" w:hRule="atLeast"/>
        </w:trPr>
        <w:tc>
          <w:tcPr>
            <w:tcW w:w="3684" w:type="dxa"/>
          </w:tcPr>
          <w:p>
            <w:pPr>
              <w:pStyle w:val="TableParagraph"/>
              <w:spacing w:before="21"/>
              <w:rPr>
                <w:sz w:val="21"/>
              </w:rPr>
            </w:pPr>
            <w:r>
              <w:rPr>
                <w:sz w:val="21"/>
              </w:rPr>
              <w:t>外部沟通</w:t>
            </w:r>
          </w:p>
        </w:tc>
        <w:tc>
          <w:tcPr>
            <w:tcW w:w="1135" w:type="dxa"/>
          </w:tcPr>
          <w:p>
            <w:pPr>
              <w:pStyle w:val="TableParagraph"/>
              <w:spacing w:before="35"/>
              <w:rPr>
                <w:rFonts w:ascii="Times New Roman"/>
                <w:sz w:val="21"/>
              </w:rPr>
            </w:pPr>
            <w:r>
              <w:rPr>
                <w:rFonts w:ascii="Times New Roman"/>
                <w:sz w:val="21"/>
              </w:rPr>
              <w:t>7.4.3</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312" w:hRule="atLeast"/>
        </w:trPr>
        <w:tc>
          <w:tcPr>
            <w:tcW w:w="3684" w:type="dxa"/>
            <w:vMerge w:val="restart"/>
          </w:tcPr>
          <w:p>
            <w:pPr>
              <w:pStyle w:val="TableParagraph"/>
              <w:spacing w:before="9"/>
              <w:ind w:left="0"/>
              <w:rPr>
                <w:rFonts w:ascii="Times New Roman"/>
                <w:sz w:val="15"/>
              </w:rPr>
            </w:pPr>
          </w:p>
          <w:p>
            <w:pPr>
              <w:pStyle w:val="TableParagraph"/>
              <w:rPr>
                <w:sz w:val="21"/>
              </w:rPr>
            </w:pPr>
            <w:r>
              <w:rPr>
                <w:sz w:val="21"/>
              </w:rPr>
              <w:t>文件化信息（仅标题）</w:t>
            </w:r>
          </w:p>
        </w:tc>
        <w:tc>
          <w:tcPr>
            <w:tcW w:w="1135" w:type="dxa"/>
            <w:vMerge w:val="restart"/>
          </w:tcPr>
          <w:p>
            <w:pPr>
              <w:pStyle w:val="TableParagraph"/>
              <w:spacing w:before="196"/>
              <w:rPr>
                <w:rFonts w:ascii="Times New Roman"/>
                <w:sz w:val="21"/>
              </w:rPr>
            </w:pPr>
            <w:r>
              <w:rPr>
                <w:rFonts w:ascii="Times New Roman"/>
                <w:sz w:val="21"/>
              </w:rPr>
              <w:t>7.5</w:t>
            </w:r>
          </w:p>
        </w:tc>
        <w:tc>
          <w:tcPr>
            <w:tcW w:w="1135" w:type="dxa"/>
          </w:tcPr>
          <w:p>
            <w:pPr>
              <w:pStyle w:val="TableParagraph"/>
              <w:spacing w:before="35"/>
              <w:rPr>
                <w:rFonts w:ascii="Times New Roman"/>
                <w:sz w:val="21"/>
              </w:rPr>
            </w:pPr>
            <w:r>
              <w:rPr>
                <w:rFonts w:ascii="Times New Roman"/>
                <w:sz w:val="21"/>
              </w:rPr>
              <w:t>4.4.4</w:t>
            </w:r>
          </w:p>
        </w:tc>
        <w:tc>
          <w:tcPr>
            <w:tcW w:w="3651" w:type="dxa"/>
          </w:tcPr>
          <w:p>
            <w:pPr>
              <w:pStyle w:val="TableParagraph"/>
              <w:spacing w:before="21"/>
              <w:rPr>
                <w:sz w:val="21"/>
              </w:rPr>
            </w:pPr>
            <w:r>
              <w:rPr>
                <w:sz w:val="21"/>
              </w:rPr>
              <w:t>文件</w:t>
            </w:r>
          </w:p>
        </w:tc>
      </w:tr>
      <w:tr>
        <w:trPr>
          <w:trHeight w:val="311" w:hRule="atLeast"/>
        </w:trPr>
        <w:tc>
          <w:tcPr>
            <w:tcW w:w="3684" w:type="dxa"/>
            <w:vMerge/>
            <w:tcBorders>
              <w:top w:val="nil"/>
            </w:tcBorders>
          </w:tcPr>
          <w:p>
            <w:pPr>
              <w:rPr>
                <w:sz w:val="2"/>
                <w:szCs w:val="2"/>
              </w:rPr>
            </w:pPr>
          </w:p>
        </w:tc>
        <w:tc>
          <w:tcPr>
            <w:tcW w:w="1135" w:type="dxa"/>
            <w:vMerge/>
            <w:tcBorders>
              <w:top w:val="nil"/>
            </w:tcBorders>
          </w:tcPr>
          <w:p>
            <w:pPr>
              <w:rPr>
                <w:sz w:val="2"/>
                <w:szCs w:val="2"/>
              </w:rPr>
            </w:pPr>
          </w:p>
        </w:tc>
        <w:tc>
          <w:tcPr>
            <w:tcW w:w="1135" w:type="dxa"/>
          </w:tcPr>
          <w:p>
            <w:pPr>
              <w:pStyle w:val="TableParagraph"/>
              <w:spacing w:before="34"/>
              <w:rPr>
                <w:rFonts w:ascii="Times New Roman"/>
                <w:sz w:val="21"/>
              </w:rPr>
            </w:pPr>
            <w:r>
              <w:rPr>
                <w:rFonts w:ascii="Times New Roman"/>
                <w:sz w:val="21"/>
              </w:rPr>
              <w:t>4.5.4</w:t>
            </w:r>
          </w:p>
        </w:tc>
        <w:tc>
          <w:tcPr>
            <w:tcW w:w="3651" w:type="dxa"/>
          </w:tcPr>
          <w:p>
            <w:pPr>
              <w:pStyle w:val="TableParagraph"/>
              <w:spacing w:before="20"/>
              <w:rPr>
                <w:sz w:val="21"/>
              </w:rPr>
            </w:pPr>
            <w:r>
              <w:rPr>
                <w:sz w:val="21"/>
              </w:rPr>
              <w:t>记录控制</w:t>
            </w:r>
          </w:p>
        </w:tc>
      </w:tr>
      <w:tr>
        <w:trPr>
          <w:trHeight w:val="312" w:hRule="atLeast"/>
        </w:trPr>
        <w:tc>
          <w:tcPr>
            <w:tcW w:w="3684" w:type="dxa"/>
            <w:vMerge w:val="restart"/>
          </w:tcPr>
          <w:p>
            <w:pPr>
              <w:pStyle w:val="TableParagraph"/>
              <w:spacing w:before="8"/>
              <w:ind w:left="0"/>
              <w:rPr>
                <w:rFonts w:ascii="Times New Roman"/>
                <w:sz w:val="15"/>
              </w:rPr>
            </w:pPr>
          </w:p>
          <w:p>
            <w:pPr>
              <w:pStyle w:val="TableParagraph"/>
              <w:rPr>
                <w:sz w:val="21"/>
              </w:rPr>
            </w:pPr>
            <w:r>
              <w:rPr>
                <w:sz w:val="21"/>
              </w:rPr>
              <w:t>总则</w:t>
            </w:r>
          </w:p>
        </w:tc>
        <w:tc>
          <w:tcPr>
            <w:tcW w:w="1135" w:type="dxa"/>
            <w:vMerge w:val="restart"/>
          </w:tcPr>
          <w:p>
            <w:pPr>
              <w:pStyle w:val="TableParagraph"/>
              <w:spacing w:before="195"/>
              <w:rPr>
                <w:rFonts w:ascii="Times New Roman"/>
                <w:sz w:val="21"/>
              </w:rPr>
            </w:pPr>
            <w:r>
              <w:rPr>
                <w:rFonts w:ascii="Times New Roman"/>
                <w:sz w:val="21"/>
              </w:rPr>
              <w:t>7.5.1</w:t>
            </w:r>
          </w:p>
        </w:tc>
        <w:tc>
          <w:tcPr>
            <w:tcW w:w="1135" w:type="dxa"/>
          </w:tcPr>
          <w:p>
            <w:pPr>
              <w:pStyle w:val="TableParagraph"/>
              <w:spacing w:before="34"/>
              <w:rPr>
                <w:rFonts w:ascii="Times New Roman"/>
                <w:sz w:val="21"/>
              </w:rPr>
            </w:pPr>
            <w:r>
              <w:rPr>
                <w:rFonts w:ascii="Times New Roman"/>
                <w:sz w:val="21"/>
              </w:rPr>
              <w:t>4.4.4</w:t>
            </w:r>
          </w:p>
        </w:tc>
        <w:tc>
          <w:tcPr>
            <w:tcW w:w="3651" w:type="dxa"/>
          </w:tcPr>
          <w:p>
            <w:pPr>
              <w:pStyle w:val="TableParagraph"/>
              <w:spacing w:before="20"/>
              <w:rPr>
                <w:sz w:val="21"/>
              </w:rPr>
            </w:pPr>
            <w:r>
              <w:rPr>
                <w:sz w:val="21"/>
              </w:rPr>
              <w:t>文件</w:t>
            </w:r>
          </w:p>
        </w:tc>
      </w:tr>
      <w:tr>
        <w:trPr>
          <w:trHeight w:val="312" w:hRule="atLeast"/>
        </w:trPr>
        <w:tc>
          <w:tcPr>
            <w:tcW w:w="3684" w:type="dxa"/>
            <w:vMerge/>
            <w:tcBorders>
              <w:top w:val="nil"/>
            </w:tcBorders>
          </w:tcPr>
          <w:p>
            <w:pPr>
              <w:rPr>
                <w:sz w:val="2"/>
                <w:szCs w:val="2"/>
              </w:rPr>
            </w:pPr>
          </w:p>
        </w:tc>
        <w:tc>
          <w:tcPr>
            <w:tcW w:w="1135" w:type="dxa"/>
            <w:vMerge/>
            <w:tcBorders>
              <w:top w:val="nil"/>
            </w:tcBorders>
          </w:tcPr>
          <w:p>
            <w:pPr>
              <w:rPr>
                <w:sz w:val="2"/>
                <w:szCs w:val="2"/>
              </w:rPr>
            </w:pPr>
          </w:p>
        </w:tc>
        <w:tc>
          <w:tcPr>
            <w:tcW w:w="1135" w:type="dxa"/>
          </w:tcPr>
          <w:p>
            <w:pPr>
              <w:pStyle w:val="TableParagraph"/>
              <w:spacing w:before="34"/>
              <w:rPr>
                <w:rFonts w:ascii="Times New Roman"/>
                <w:sz w:val="21"/>
              </w:rPr>
            </w:pPr>
            <w:r>
              <w:rPr>
                <w:rFonts w:ascii="Times New Roman"/>
                <w:sz w:val="21"/>
              </w:rPr>
              <w:t>4.5.4</w:t>
            </w:r>
          </w:p>
        </w:tc>
        <w:tc>
          <w:tcPr>
            <w:tcW w:w="3651" w:type="dxa"/>
          </w:tcPr>
          <w:p>
            <w:pPr>
              <w:pStyle w:val="TableParagraph"/>
              <w:spacing w:before="20"/>
              <w:rPr>
                <w:sz w:val="21"/>
              </w:rPr>
            </w:pPr>
            <w:r>
              <w:rPr>
                <w:sz w:val="21"/>
              </w:rPr>
              <w:t>记录控制</w:t>
            </w:r>
          </w:p>
        </w:tc>
      </w:tr>
      <w:tr>
        <w:trPr>
          <w:trHeight w:val="311" w:hRule="atLeast"/>
        </w:trPr>
        <w:tc>
          <w:tcPr>
            <w:tcW w:w="3684" w:type="dxa"/>
            <w:vMerge w:val="restart"/>
          </w:tcPr>
          <w:p>
            <w:pPr>
              <w:pStyle w:val="TableParagraph"/>
              <w:spacing w:before="10"/>
              <w:ind w:left="0"/>
              <w:rPr>
                <w:rFonts w:ascii="Times New Roman"/>
                <w:sz w:val="15"/>
              </w:rPr>
            </w:pPr>
          </w:p>
          <w:p>
            <w:pPr>
              <w:pStyle w:val="TableParagraph"/>
              <w:rPr>
                <w:sz w:val="21"/>
              </w:rPr>
            </w:pPr>
            <w:r>
              <w:rPr>
                <w:sz w:val="21"/>
              </w:rPr>
              <w:t>创建和更新</w:t>
            </w:r>
          </w:p>
        </w:tc>
        <w:tc>
          <w:tcPr>
            <w:tcW w:w="1135" w:type="dxa"/>
            <w:vMerge w:val="restart"/>
          </w:tcPr>
          <w:p>
            <w:pPr>
              <w:pStyle w:val="TableParagraph"/>
              <w:spacing w:before="196"/>
              <w:rPr>
                <w:rFonts w:ascii="Times New Roman"/>
                <w:sz w:val="21"/>
              </w:rPr>
            </w:pPr>
            <w:r>
              <w:rPr>
                <w:rFonts w:ascii="Times New Roman"/>
                <w:sz w:val="21"/>
              </w:rPr>
              <w:t>7.5.2</w:t>
            </w:r>
          </w:p>
        </w:tc>
        <w:tc>
          <w:tcPr>
            <w:tcW w:w="1135" w:type="dxa"/>
          </w:tcPr>
          <w:p>
            <w:pPr>
              <w:pStyle w:val="TableParagraph"/>
              <w:spacing w:before="36"/>
              <w:rPr>
                <w:rFonts w:ascii="Times New Roman"/>
                <w:sz w:val="21"/>
              </w:rPr>
            </w:pPr>
            <w:r>
              <w:rPr>
                <w:rFonts w:ascii="Times New Roman"/>
                <w:sz w:val="21"/>
              </w:rPr>
              <w:t>4.4.5</w:t>
            </w:r>
          </w:p>
        </w:tc>
        <w:tc>
          <w:tcPr>
            <w:tcW w:w="3651" w:type="dxa"/>
          </w:tcPr>
          <w:p>
            <w:pPr>
              <w:pStyle w:val="TableParagraph"/>
              <w:spacing w:before="22"/>
              <w:rPr>
                <w:sz w:val="21"/>
              </w:rPr>
            </w:pPr>
            <w:r>
              <w:rPr>
                <w:sz w:val="21"/>
              </w:rPr>
              <w:t>文件控制</w:t>
            </w:r>
          </w:p>
        </w:tc>
      </w:tr>
      <w:tr>
        <w:trPr>
          <w:trHeight w:val="312" w:hRule="atLeast"/>
        </w:trPr>
        <w:tc>
          <w:tcPr>
            <w:tcW w:w="3684" w:type="dxa"/>
            <w:vMerge/>
            <w:tcBorders>
              <w:top w:val="nil"/>
            </w:tcBorders>
          </w:tcPr>
          <w:p>
            <w:pPr>
              <w:rPr>
                <w:sz w:val="2"/>
                <w:szCs w:val="2"/>
              </w:rPr>
            </w:pPr>
          </w:p>
        </w:tc>
        <w:tc>
          <w:tcPr>
            <w:tcW w:w="1135" w:type="dxa"/>
            <w:vMerge/>
            <w:tcBorders>
              <w:top w:val="nil"/>
            </w:tcBorders>
          </w:tcPr>
          <w:p>
            <w:pPr>
              <w:rPr>
                <w:sz w:val="2"/>
                <w:szCs w:val="2"/>
              </w:rPr>
            </w:pPr>
          </w:p>
        </w:tc>
        <w:tc>
          <w:tcPr>
            <w:tcW w:w="1135" w:type="dxa"/>
          </w:tcPr>
          <w:p>
            <w:pPr>
              <w:pStyle w:val="TableParagraph"/>
              <w:spacing w:before="35"/>
              <w:rPr>
                <w:rFonts w:ascii="Times New Roman"/>
                <w:sz w:val="21"/>
              </w:rPr>
            </w:pPr>
            <w:r>
              <w:rPr>
                <w:rFonts w:ascii="Times New Roman"/>
                <w:sz w:val="21"/>
              </w:rPr>
              <w:t>4.5.4</w:t>
            </w:r>
          </w:p>
        </w:tc>
        <w:tc>
          <w:tcPr>
            <w:tcW w:w="3651" w:type="dxa"/>
          </w:tcPr>
          <w:p>
            <w:pPr>
              <w:pStyle w:val="TableParagraph"/>
              <w:spacing w:before="21"/>
              <w:rPr>
                <w:sz w:val="21"/>
              </w:rPr>
            </w:pPr>
            <w:r>
              <w:rPr>
                <w:sz w:val="21"/>
              </w:rPr>
              <w:t>记录控制</w:t>
            </w:r>
          </w:p>
        </w:tc>
      </w:tr>
      <w:tr>
        <w:trPr>
          <w:trHeight w:val="311" w:hRule="atLeast"/>
        </w:trPr>
        <w:tc>
          <w:tcPr>
            <w:tcW w:w="3684" w:type="dxa"/>
            <w:vMerge w:val="restart"/>
          </w:tcPr>
          <w:p>
            <w:pPr>
              <w:pStyle w:val="TableParagraph"/>
              <w:spacing w:before="9"/>
              <w:ind w:left="0"/>
              <w:rPr>
                <w:rFonts w:ascii="Times New Roman"/>
                <w:sz w:val="15"/>
              </w:rPr>
            </w:pPr>
          </w:p>
          <w:p>
            <w:pPr>
              <w:pStyle w:val="TableParagraph"/>
              <w:rPr>
                <w:sz w:val="21"/>
              </w:rPr>
            </w:pPr>
            <w:r>
              <w:rPr>
                <w:sz w:val="21"/>
              </w:rPr>
              <w:t>文件化信息的控制</w:t>
            </w:r>
          </w:p>
        </w:tc>
        <w:tc>
          <w:tcPr>
            <w:tcW w:w="1135" w:type="dxa"/>
            <w:vMerge w:val="restart"/>
          </w:tcPr>
          <w:p>
            <w:pPr>
              <w:pStyle w:val="TableParagraph"/>
              <w:spacing w:before="196"/>
              <w:rPr>
                <w:rFonts w:ascii="Times New Roman"/>
                <w:sz w:val="21"/>
              </w:rPr>
            </w:pPr>
            <w:r>
              <w:rPr>
                <w:rFonts w:ascii="Times New Roman"/>
                <w:sz w:val="21"/>
              </w:rPr>
              <w:t>7.5.3</w:t>
            </w:r>
          </w:p>
        </w:tc>
        <w:tc>
          <w:tcPr>
            <w:tcW w:w="1135" w:type="dxa"/>
          </w:tcPr>
          <w:p>
            <w:pPr>
              <w:pStyle w:val="TableParagraph"/>
              <w:spacing w:before="35"/>
              <w:rPr>
                <w:rFonts w:ascii="Times New Roman"/>
                <w:sz w:val="21"/>
              </w:rPr>
            </w:pPr>
            <w:r>
              <w:rPr>
                <w:rFonts w:ascii="Times New Roman"/>
                <w:sz w:val="21"/>
              </w:rPr>
              <w:t>4.4.5</w:t>
            </w:r>
          </w:p>
        </w:tc>
        <w:tc>
          <w:tcPr>
            <w:tcW w:w="3651" w:type="dxa"/>
          </w:tcPr>
          <w:p>
            <w:pPr>
              <w:pStyle w:val="TableParagraph"/>
              <w:spacing w:before="21"/>
              <w:rPr>
                <w:sz w:val="21"/>
              </w:rPr>
            </w:pPr>
            <w:r>
              <w:rPr>
                <w:sz w:val="21"/>
              </w:rPr>
              <w:t>文件控制</w:t>
            </w:r>
          </w:p>
        </w:tc>
      </w:tr>
      <w:tr>
        <w:trPr>
          <w:trHeight w:val="312" w:hRule="atLeast"/>
        </w:trPr>
        <w:tc>
          <w:tcPr>
            <w:tcW w:w="3684" w:type="dxa"/>
            <w:vMerge/>
            <w:tcBorders>
              <w:top w:val="nil"/>
            </w:tcBorders>
          </w:tcPr>
          <w:p>
            <w:pPr>
              <w:rPr>
                <w:sz w:val="2"/>
                <w:szCs w:val="2"/>
              </w:rPr>
            </w:pPr>
          </w:p>
        </w:tc>
        <w:tc>
          <w:tcPr>
            <w:tcW w:w="1135" w:type="dxa"/>
            <w:vMerge/>
            <w:tcBorders>
              <w:top w:val="nil"/>
            </w:tcBorders>
          </w:tcPr>
          <w:p>
            <w:pPr>
              <w:rPr>
                <w:sz w:val="2"/>
                <w:szCs w:val="2"/>
              </w:rPr>
            </w:pPr>
          </w:p>
        </w:tc>
        <w:tc>
          <w:tcPr>
            <w:tcW w:w="1135" w:type="dxa"/>
          </w:tcPr>
          <w:p>
            <w:pPr>
              <w:pStyle w:val="TableParagraph"/>
              <w:spacing w:before="34"/>
              <w:rPr>
                <w:rFonts w:ascii="Times New Roman"/>
                <w:sz w:val="21"/>
              </w:rPr>
            </w:pPr>
            <w:r>
              <w:rPr>
                <w:rFonts w:ascii="Times New Roman"/>
                <w:sz w:val="21"/>
              </w:rPr>
              <w:t>4.5.4</w:t>
            </w:r>
          </w:p>
        </w:tc>
        <w:tc>
          <w:tcPr>
            <w:tcW w:w="3651" w:type="dxa"/>
          </w:tcPr>
          <w:p>
            <w:pPr>
              <w:pStyle w:val="TableParagraph"/>
              <w:spacing w:before="20"/>
              <w:rPr>
                <w:sz w:val="21"/>
              </w:rPr>
            </w:pPr>
            <w:r>
              <w:rPr>
                <w:sz w:val="21"/>
              </w:rPr>
              <w:t>记录控制</w:t>
            </w:r>
          </w:p>
        </w:tc>
      </w:tr>
      <w:tr>
        <w:trPr>
          <w:trHeight w:val="311" w:hRule="atLeast"/>
        </w:trPr>
        <w:tc>
          <w:tcPr>
            <w:tcW w:w="3684" w:type="dxa"/>
          </w:tcPr>
          <w:p>
            <w:pPr>
              <w:pStyle w:val="TableParagraph"/>
              <w:spacing w:before="20"/>
              <w:rPr>
                <w:sz w:val="21"/>
              </w:rPr>
            </w:pPr>
            <w:r>
              <w:rPr>
                <w:sz w:val="21"/>
              </w:rPr>
              <w:t>运行（仅标题）</w:t>
            </w:r>
          </w:p>
        </w:tc>
        <w:tc>
          <w:tcPr>
            <w:tcW w:w="1135" w:type="dxa"/>
          </w:tcPr>
          <w:p>
            <w:pPr>
              <w:pStyle w:val="TableParagraph"/>
              <w:spacing w:before="34"/>
              <w:rPr>
                <w:rFonts w:ascii="Times New Roman"/>
                <w:sz w:val="21"/>
              </w:rPr>
            </w:pPr>
            <w:r>
              <w:rPr>
                <w:rFonts w:ascii="Times New Roman"/>
                <w:w w:val="99"/>
                <w:sz w:val="21"/>
              </w:rPr>
              <w:t>8</w:t>
            </w:r>
          </w:p>
        </w:tc>
        <w:tc>
          <w:tcPr>
            <w:tcW w:w="1135" w:type="dxa"/>
          </w:tcPr>
          <w:p>
            <w:pPr>
              <w:pStyle w:val="TableParagraph"/>
              <w:spacing w:before="34"/>
              <w:rPr>
                <w:rFonts w:ascii="Times New Roman"/>
                <w:sz w:val="21"/>
              </w:rPr>
            </w:pPr>
            <w:r>
              <w:rPr>
                <w:rFonts w:ascii="Times New Roman"/>
                <w:sz w:val="21"/>
              </w:rPr>
              <w:t>4.4</w:t>
            </w:r>
          </w:p>
        </w:tc>
        <w:tc>
          <w:tcPr>
            <w:tcW w:w="3651" w:type="dxa"/>
          </w:tcPr>
          <w:p>
            <w:pPr>
              <w:pStyle w:val="TableParagraph"/>
              <w:spacing w:before="20"/>
              <w:rPr>
                <w:sz w:val="21"/>
              </w:rPr>
            </w:pPr>
            <w:r>
              <w:rPr>
                <w:sz w:val="21"/>
              </w:rPr>
              <w:t>实施和运行（仅标题）</w:t>
            </w:r>
          </w:p>
        </w:tc>
      </w:tr>
      <w:tr>
        <w:trPr>
          <w:trHeight w:val="312" w:hRule="atLeast"/>
        </w:trPr>
        <w:tc>
          <w:tcPr>
            <w:tcW w:w="3684" w:type="dxa"/>
          </w:tcPr>
          <w:p>
            <w:pPr>
              <w:pStyle w:val="TableParagraph"/>
              <w:spacing w:before="20"/>
              <w:rPr>
                <w:sz w:val="21"/>
              </w:rPr>
            </w:pPr>
            <w:r>
              <w:rPr>
                <w:sz w:val="21"/>
              </w:rPr>
              <w:t>运行策划和控制（仅标题）</w:t>
            </w:r>
          </w:p>
        </w:tc>
        <w:tc>
          <w:tcPr>
            <w:tcW w:w="1135" w:type="dxa"/>
          </w:tcPr>
          <w:p>
            <w:pPr>
              <w:pStyle w:val="TableParagraph"/>
              <w:spacing w:before="34"/>
              <w:rPr>
                <w:rFonts w:ascii="Times New Roman"/>
                <w:sz w:val="21"/>
              </w:rPr>
            </w:pPr>
            <w:r>
              <w:rPr>
                <w:rFonts w:ascii="Times New Roman"/>
                <w:sz w:val="21"/>
              </w:rPr>
              <w:t>8.1</w:t>
            </w:r>
          </w:p>
        </w:tc>
        <w:tc>
          <w:tcPr>
            <w:tcW w:w="1135" w:type="dxa"/>
            <w:vMerge w:val="restart"/>
          </w:tcPr>
          <w:p>
            <w:pPr>
              <w:pStyle w:val="TableParagraph"/>
              <w:spacing w:before="197"/>
              <w:rPr>
                <w:rFonts w:ascii="Times New Roman"/>
                <w:sz w:val="21"/>
              </w:rPr>
            </w:pPr>
            <w:r>
              <w:rPr>
                <w:rFonts w:ascii="Times New Roman"/>
                <w:sz w:val="21"/>
              </w:rPr>
              <w:t>4.4.6</w:t>
            </w:r>
          </w:p>
        </w:tc>
        <w:tc>
          <w:tcPr>
            <w:tcW w:w="3651" w:type="dxa"/>
            <w:vMerge w:val="restart"/>
          </w:tcPr>
          <w:p>
            <w:pPr>
              <w:pStyle w:val="TableParagraph"/>
              <w:spacing w:before="10"/>
              <w:ind w:left="0"/>
              <w:rPr>
                <w:rFonts w:ascii="Times New Roman"/>
                <w:sz w:val="15"/>
              </w:rPr>
            </w:pPr>
          </w:p>
          <w:p>
            <w:pPr>
              <w:pStyle w:val="TableParagraph"/>
              <w:rPr>
                <w:sz w:val="21"/>
              </w:rPr>
            </w:pPr>
            <w:r>
              <w:rPr>
                <w:sz w:val="21"/>
              </w:rPr>
              <w:t>运行控制</w:t>
            </w:r>
          </w:p>
        </w:tc>
      </w:tr>
      <w:tr>
        <w:trPr>
          <w:trHeight w:val="312" w:hRule="atLeast"/>
        </w:trPr>
        <w:tc>
          <w:tcPr>
            <w:tcW w:w="3684" w:type="dxa"/>
          </w:tcPr>
          <w:p>
            <w:pPr>
              <w:pStyle w:val="TableParagraph"/>
              <w:spacing w:before="22"/>
              <w:rPr>
                <w:sz w:val="21"/>
              </w:rPr>
            </w:pPr>
            <w:r>
              <w:rPr>
                <w:sz w:val="21"/>
              </w:rPr>
              <w:t>总则</w:t>
            </w:r>
          </w:p>
        </w:tc>
        <w:tc>
          <w:tcPr>
            <w:tcW w:w="1135" w:type="dxa"/>
          </w:tcPr>
          <w:p>
            <w:pPr>
              <w:pStyle w:val="TableParagraph"/>
              <w:spacing w:before="36"/>
              <w:rPr>
                <w:rFonts w:ascii="Times New Roman"/>
                <w:sz w:val="21"/>
              </w:rPr>
            </w:pPr>
            <w:r>
              <w:rPr>
                <w:rFonts w:ascii="Times New Roman"/>
                <w:sz w:val="21"/>
              </w:rPr>
              <w:t>8.1.1</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624" w:hRule="atLeast"/>
        </w:trPr>
        <w:tc>
          <w:tcPr>
            <w:tcW w:w="3684" w:type="dxa"/>
            <w:vMerge w:val="restart"/>
          </w:tcPr>
          <w:p>
            <w:pPr>
              <w:pStyle w:val="TableParagraph"/>
              <w:spacing w:before="4"/>
              <w:ind w:left="0"/>
              <w:rPr>
                <w:rFonts w:ascii="Times New Roman"/>
                <w:sz w:val="29"/>
              </w:rPr>
            </w:pPr>
          </w:p>
          <w:p>
            <w:pPr>
              <w:pStyle w:val="TableParagraph"/>
              <w:spacing w:before="1"/>
              <w:rPr>
                <w:sz w:val="21"/>
              </w:rPr>
            </w:pPr>
            <w:r>
              <w:rPr>
                <w:sz w:val="21"/>
              </w:rPr>
              <w:t>消除危险源和降低职业健康安全风险</w:t>
            </w:r>
          </w:p>
        </w:tc>
        <w:tc>
          <w:tcPr>
            <w:tcW w:w="1135" w:type="dxa"/>
            <w:vMerge w:val="restart"/>
          </w:tcPr>
          <w:p>
            <w:pPr>
              <w:pStyle w:val="TableParagraph"/>
              <w:spacing w:before="7"/>
              <w:ind w:left="0"/>
              <w:rPr>
                <w:rFonts w:ascii="Times New Roman"/>
                <w:sz w:val="30"/>
              </w:rPr>
            </w:pPr>
          </w:p>
          <w:p>
            <w:pPr>
              <w:pStyle w:val="TableParagraph"/>
              <w:rPr>
                <w:rFonts w:ascii="Times New Roman"/>
                <w:sz w:val="21"/>
              </w:rPr>
            </w:pPr>
            <w:r>
              <w:rPr>
                <w:rFonts w:ascii="Times New Roman"/>
                <w:sz w:val="21"/>
              </w:rPr>
              <w:t>8.1.2</w:t>
            </w:r>
          </w:p>
        </w:tc>
        <w:tc>
          <w:tcPr>
            <w:tcW w:w="1135" w:type="dxa"/>
          </w:tcPr>
          <w:p>
            <w:pPr>
              <w:pStyle w:val="TableParagraph"/>
              <w:spacing w:before="191"/>
              <w:rPr>
                <w:rFonts w:ascii="Times New Roman"/>
                <w:sz w:val="21"/>
              </w:rPr>
            </w:pPr>
            <w:r>
              <w:rPr>
                <w:rFonts w:ascii="Times New Roman"/>
                <w:sz w:val="21"/>
              </w:rPr>
              <w:t>4.3.1</w:t>
            </w:r>
          </w:p>
        </w:tc>
        <w:tc>
          <w:tcPr>
            <w:tcW w:w="3651" w:type="dxa"/>
          </w:tcPr>
          <w:p>
            <w:pPr>
              <w:pStyle w:val="TableParagraph"/>
              <w:spacing w:before="21"/>
              <w:rPr>
                <w:sz w:val="21"/>
              </w:rPr>
            </w:pPr>
            <w:r>
              <w:rPr>
                <w:sz w:val="21"/>
              </w:rPr>
              <w:t>危险源辨识、风险评价和控制措施的</w:t>
            </w:r>
          </w:p>
          <w:p>
            <w:pPr>
              <w:pStyle w:val="TableParagraph"/>
              <w:spacing w:before="43"/>
              <w:rPr>
                <w:sz w:val="21"/>
              </w:rPr>
            </w:pPr>
            <w:r>
              <w:rPr>
                <w:sz w:val="21"/>
              </w:rPr>
              <w:t>确定</w:t>
            </w:r>
          </w:p>
        </w:tc>
      </w:tr>
      <w:tr>
        <w:trPr>
          <w:trHeight w:val="311" w:hRule="atLeast"/>
        </w:trPr>
        <w:tc>
          <w:tcPr>
            <w:tcW w:w="3684" w:type="dxa"/>
            <w:vMerge/>
            <w:tcBorders>
              <w:top w:val="nil"/>
            </w:tcBorders>
          </w:tcPr>
          <w:p>
            <w:pPr>
              <w:rPr>
                <w:sz w:val="2"/>
                <w:szCs w:val="2"/>
              </w:rPr>
            </w:pPr>
          </w:p>
        </w:tc>
        <w:tc>
          <w:tcPr>
            <w:tcW w:w="1135" w:type="dxa"/>
            <w:vMerge/>
            <w:tcBorders>
              <w:top w:val="nil"/>
            </w:tcBorders>
          </w:tcPr>
          <w:p>
            <w:pPr>
              <w:rPr>
                <w:sz w:val="2"/>
                <w:szCs w:val="2"/>
              </w:rPr>
            </w:pPr>
          </w:p>
        </w:tc>
        <w:tc>
          <w:tcPr>
            <w:tcW w:w="1135" w:type="dxa"/>
          </w:tcPr>
          <w:p>
            <w:pPr>
              <w:pStyle w:val="TableParagraph"/>
              <w:spacing w:before="35"/>
              <w:rPr>
                <w:rFonts w:ascii="Times New Roman"/>
                <w:sz w:val="21"/>
              </w:rPr>
            </w:pPr>
            <w:r>
              <w:rPr>
                <w:rFonts w:ascii="Times New Roman"/>
                <w:sz w:val="21"/>
              </w:rPr>
              <w:t>4.4.6</w:t>
            </w:r>
          </w:p>
        </w:tc>
        <w:tc>
          <w:tcPr>
            <w:tcW w:w="3651" w:type="dxa"/>
          </w:tcPr>
          <w:p>
            <w:pPr>
              <w:pStyle w:val="TableParagraph"/>
              <w:spacing w:before="21"/>
              <w:rPr>
                <w:sz w:val="21"/>
              </w:rPr>
            </w:pPr>
            <w:r>
              <w:rPr>
                <w:sz w:val="21"/>
              </w:rPr>
              <w:t>运行控制</w:t>
            </w:r>
          </w:p>
        </w:tc>
      </w:tr>
      <w:tr>
        <w:trPr>
          <w:trHeight w:val="624" w:hRule="atLeast"/>
        </w:trPr>
        <w:tc>
          <w:tcPr>
            <w:tcW w:w="3684" w:type="dxa"/>
            <w:vMerge w:val="restart"/>
          </w:tcPr>
          <w:p>
            <w:pPr>
              <w:pStyle w:val="TableParagraph"/>
              <w:spacing w:before="4"/>
              <w:ind w:left="0"/>
              <w:rPr>
                <w:rFonts w:ascii="Times New Roman"/>
                <w:sz w:val="29"/>
              </w:rPr>
            </w:pPr>
          </w:p>
          <w:p>
            <w:pPr>
              <w:pStyle w:val="TableParagraph"/>
              <w:rPr>
                <w:sz w:val="21"/>
              </w:rPr>
            </w:pPr>
            <w:r>
              <w:rPr>
                <w:sz w:val="21"/>
              </w:rPr>
              <w:t>变更管理</w:t>
            </w:r>
          </w:p>
        </w:tc>
        <w:tc>
          <w:tcPr>
            <w:tcW w:w="1135" w:type="dxa"/>
            <w:vMerge w:val="restart"/>
          </w:tcPr>
          <w:p>
            <w:pPr>
              <w:pStyle w:val="TableParagraph"/>
              <w:spacing w:before="6"/>
              <w:ind w:left="0"/>
              <w:rPr>
                <w:rFonts w:ascii="Times New Roman"/>
                <w:sz w:val="30"/>
              </w:rPr>
            </w:pPr>
          </w:p>
          <w:p>
            <w:pPr>
              <w:pStyle w:val="TableParagraph"/>
              <w:rPr>
                <w:rFonts w:ascii="Times New Roman"/>
                <w:sz w:val="21"/>
              </w:rPr>
            </w:pPr>
            <w:r>
              <w:rPr>
                <w:rFonts w:ascii="Times New Roman"/>
                <w:sz w:val="21"/>
              </w:rPr>
              <w:t>8.1.3</w:t>
            </w:r>
          </w:p>
        </w:tc>
        <w:tc>
          <w:tcPr>
            <w:tcW w:w="1135" w:type="dxa"/>
          </w:tcPr>
          <w:p>
            <w:pPr>
              <w:pStyle w:val="TableParagraph"/>
              <w:spacing w:before="190"/>
              <w:rPr>
                <w:rFonts w:ascii="Times New Roman"/>
                <w:sz w:val="21"/>
              </w:rPr>
            </w:pPr>
            <w:r>
              <w:rPr>
                <w:rFonts w:ascii="Times New Roman"/>
                <w:sz w:val="21"/>
              </w:rPr>
              <w:t>4.3.1</w:t>
            </w:r>
          </w:p>
        </w:tc>
        <w:tc>
          <w:tcPr>
            <w:tcW w:w="3651" w:type="dxa"/>
          </w:tcPr>
          <w:p>
            <w:pPr>
              <w:pStyle w:val="TableParagraph"/>
              <w:spacing w:before="21"/>
              <w:rPr>
                <w:sz w:val="21"/>
              </w:rPr>
            </w:pPr>
            <w:r>
              <w:rPr>
                <w:sz w:val="21"/>
              </w:rPr>
              <w:t>危险源辨识、风险评价和控制措施的</w:t>
            </w:r>
          </w:p>
          <w:p>
            <w:pPr>
              <w:pStyle w:val="TableParagraph"/>
              <w:spacing w:before="42"/>
              <w:rPr>
                <w:sz w:val="21"/>
              </w:rPr>
            </w:pPr>
            <w:r>
              <w:rPr>
                <w:sz w:val="21"/>
              </w:rPr>
              <w:t>确定</w:t>
            </w:r>
          </w:p>
        </w:tc>
      </w:tr>
      <w:tr>
        <w:trPr>
          <w:trHeight w:val="312" w:hRule="atLeast"/>
        </w:trPr>
        <w:tc>
          <w:tcPr>
            <w:tcW w:w="3684" w:type="dxa"/>
            <w:vMerge/>
            <w:tcBorders>
              <w:top w:val="nil"/>
            </w:tcBorders>
          </w:tcPr>
          <w:p>
            <w:pPr>
              <w:rPr>
                <w:sz w:val="2"/>
                <w:szCs w:val="2"/>
              </w:rPr>
            </w:pPr>
          </w:p>
        </w:tc>
        <w:tc>
          <w:tcPr>
            <w:tcW w:w="1135" w:type="dxa"/>
            <w:vMerge/>
            <w:tcBorders>
              <w:top w:val="nil"/>
            </w:tcBorders>
          </w:tcPr>
          <w:p>
            <w:pPr>
              <w:rPr>
                <w:sz w:val="2"/>
                <w:szCs w:val="2"/>
              </w:rPr>
            </w:pPr>
          </w:p>
        </w:tc>
        <w:tc>
          <w:tcPr>
            <w:tcW w:w="1135" w:type="dxa"/>
          </w:tcPr>
          <w:p>
            <w:pPr>
              <w:pStyle w:val="TableParagraph"/>
              <w:spacing w:before="34"/>
              <w:rPr>
                <w:rFonts w:ascii="Times New Roman"/>
                <w:sz w:val="21"/>
              </w:rPr>
            </w:pPr>
            <w:r>
              <w:rPr>
                <w:rFonts w:ascii="Times New Roman"/>
                <w:sz w:val="21"/>
              </w:rPr>
              <w:t>4.4.6</w:t>
            </w:r>
          </w:p>
        </w:tc>
        <w:tc>
          <w:tcPr>
            <w:tcW w:w="3651" w:type="dxa"/>
          </w:tcPr>
          <w:p>
            <w:pPr>
              <w:pStyle w:val="TableParagraph"/>
              <w:spacing w:before="20"/>
              <w:rPr>
                <w:sz w:val="21"/>
              </w:rPr>
            </w:pPr>
            <w:r>
              <w:rPr>
                <w:sz w:val="21"/>
              </w:rPr>
              <w:t>运行控制</w:t>
            </w:r>
          </w:p>
        </w:tc>
      </w:tr>
      <w:tr>
        <w:trPr>
          <w:trHeight w:val="309" w:hRule="atLeast"/>
        </w:trPr>
        <w:tc>
          <w:tcPr>
            <w:tcW w:w="3684" w:type="dxa"/>
          </w:tcPr>
          <w:p>
            <w:pPr>
              <w:pStyle w:val="TableParagraph"/>
              <w:spacing w:before="20"/>
              <w:rPr>
                <w:sz w:val="21"/>
              </w:rPr>
            </w:pPr>
            <w:r>
              <w:rPr>
                <w:sz w:val="21"/>
              </w:rPr>
              <w:t>采购</w:t>
            </w:r>
          </w:p>
        </w:tc>
        <w:tc>
          <w:tcPr>
            <w:tcW w:w="1135" w:type="dxa"/>
            <w:tcBorders>
              <w:bottom w:val="single" w:sz="6" w:space="0" w:color="000000"/>
            </w:tcBorders>
          </w:tcPr>
          <w:p>
            <w:pPr>
              <w:pStyle w:val="TableParagraph"/>
              <w:spacing w:before="34"/>
              <w:rPr>
                <w:rFonts w:ascii="Times New Roman"/>
                <w:sz w:val="21"/>
              </w:rPr>
            </w:pPr>
            <w:r>
              <w:rPr>
                <w:rFonts w:ascii="Times New Roman"/>
                <w:sz w:val="21"/>
              </w:rPr>
              <w:t>8.1.4</w:t>
            </w:r>
          </w:p>
        </w:tc>
        <w:tc>
          <w:tcPr>
            <w:tcW w:w="1135" w:type="dxa"/>
          </w:tcPr>
          <w:p>
            <w:pPr>
              <w:pStyle w:val="TableParagraph"/>
              <w:spacing w:before="34"/>
              <w:rPr>
                <w:rFonts w:ascii="Times New Roman"/>
                <w:sz w:val="21"/>
              </w:rPr>
            </w:pPr>
            <w:r>
              <w:rPr>
                <w:rFonts w:ascii="Times New Roman"/>
                <w:sz w:val="21"/>
              </w:rPr>
              <w:t>4.4.6</w:t>
            </w:r>
          </w:p>
        </w:tc>
        <w:tc>
          <w:tcPr>
            <w:tcW w:w="3651" w:type="dxa"/>
          </w:tcPr>
          <w:p>
            <w:pPr>
              <w:pStyle w:val="TableParagraph"/>
              <w:spacing w:before="20"/>
              <w:rPr>
                <w:sz w:val="21"/>
              </w:rPr>
            </w:pPr>
            <w:r>
              <w:rPr>
                <w:sz w:val="21"/>
              </w:rPr>
              <w:t>运行控制</w:t>
            </w:r>
          </w:p>
        </w:tc>
      </w:tr>
      <w:tr>
        <w:trPr>
          <w:trHeight w:val="311" w:hRule="atLeast"/>
        </w:trPr>
        <w:tc>
          <w:tcPr>
            <w:tcW w:w="3684" w:type="dxa"/>
            <w:tcBorders>
              <w:right w:val="single" w:sz="6" w:space="0" w:color="000000"/>
            </w:tcBorders>
          </w:tcPr>
          <w:p>
            <w:pPr>
              <w:pStyle w:val="TableParagraph"/>
              <w:spacing w:line="268" w:lineRule="exact" w:before="24"/>
              <w:rPr>
                <w:sz w:val="21"/>
              </w:rPr>
            </w:pPr>
            <w:r>
              <w:rPr>
                <w:sz w:val="21"/>
              </w:rPr>
              <w:t>总则</w:t>
            </w:r>
          </w:p>
        </w:tc>
        <w:tc>
          <w:tcPr>
            <w:tcW w:w="1135" w:type="dxa"/>
            <w:tcBorders>
              <w:top w:val="single" w:sz="6" w:space="0" w:color="000000"/>
              <w:left w:val="single" w:sz="6" w:space="0" w:color="000000"/>
              <w:bottom w:val="single" w:sz="6" w:space="0" w:color="000000"/>
              <w:right w:val="single" w:sz="6" w:space="0" w:color="000000"/>
            </w:tcBorders>
          </w:tcPr>
          <w:p>
            <w:pPr>
              <w:pStyle w:val="TableParagraph"/>
              <w:spacing w:before="38"/>
              <w:ind w:left="105"/>
              <w:rPr>
                <w:rFonts w:ascii="Times New Roman"/>
                <w:sz w:val="21"/>
              </w:rPr>
            </w:pPr>
            <w:r>
              <w:rPr>
                <w:rFonts w:ascii="Times New Roman"/>
                <w:sz w:val="21"/>
              </w:rPr>
              <w:t>8.1.4.1</w:t>
            </w:r>
          </w:p>
        </w:tc>
        <w:tc>
          <w:tcPr>
            <w:tcW w:w="1135" w:type="dxa"/>
            <w:tcBorders>
              <w:left w:val="single" w:sz="6" w:space="0" w:color="000000"/>
            </w:tcBorders>
          </w:tcPr>
          <w:p>
            <w:pPr>
              <w:pStyle w:val="TableParagraph"/>
              <w:spacing w:before="38"/>
              <w:ind w:left="105"/>
              <w:rPr>
                <w:rFonts w:ascii="Times New Roman"/>
                <w:sz w:val="21"/>
              </w:rPr>
            </w:pPr>
            <w:r>
              <w:rPr>
                <w:rFonts w:ascii="Times New Roman"/>
                <w:sz w:val="21"/>
              </w:rPr>
              <w:t>4.4.6</w:t>
            </w:r>
          </w:p>
        </w:tc>
        <w:tc>
          <w:tcPr>
            <w:tcW w:w="3651" w:type="dxa"/>
          </w:tcPr>
          <w:p>
            <w:pPr>
              <w:pStyle w:val="TableParagraph"/>
              <w:spacing w:line="268" w:lineRule="exact" w:before="24"/>
              <w:rPr>
                <w:sz w:val="21"/>
              </w:rPr>
            </w:pPr>
            <w:r>
              <w:rPr>
                <w:sz w:val="21"/>
              </w:rPr>
              <w:t>运行控制</w:t>
            </w:r>
          </w:p>
        </w:tc>
      </w:tr>
      <w:tr>
        <w:trPr>
          <w:trHeight w:val="626" w:hRule="atLeast"/>
        </w:trPr>
        <w:tc>
          <w:tcPr>
            <w:tcW w:w="3684" w:type="dxa"/>
            <w:vMerge w:val="restart"/>
            <w:tcBorders>
              <w:right w:val="single" w:sz="6" w:space="0" w:color="000000"/>
            </w:tcBorders>
          </w:tcPr>
          <w:p>
            <w:pPr>
              <w:pStyle w:val="TableParagraph"/>
              <w:ind w:left="0"/>
              <w:rPr>
                <w:rFonts w:ascii="Times New Roman"/>
                <w:sz w:val="20"/>
              </w:rPr>
            </w:pPr>
          </w:p>
          <w:p>
            <w:pPr>
              <w:pStyle w:val="TableParagraph"/>
              <w:spacing w:before="6"/>
              <w:ind w:left="0"/>
              <w:rPr>
                <w:rFonts w:ascii="Times New Roman"/>
                <w:sz w:val="23"/>
              </w:rPr>
            </w:pPr>
          </w:p>
          <w:p>
            <w:pPr>
              <w:pStyle w:val="TableParagraph"/>
              <w:spacing w:before="1"/>
              <w:rPr>
                <w:sz w:val="21"/>
              </w:rPr>
            </w:pPr>
            <w:r>
              <w:rPr>
                <w:sz w:val="21"/>
              </w:rPr>
              <w:t>承包方</w:t>
            </w:r>
          </w:p>
        </w:tc>
        <w:tc>
          <w:tcPr>
            <w:tcW w:w="1135" w:type="dxa"/>
            <w:vMerge w:val="restart"/>
            <w:tcBorders>
              <w:top w:val="single" w:sz="6" w:space="0" w:color="000000"/>
              <w:left w:val="single" w:sz="6" w:space="0" w:color="000000"/>
              <w:right w:val="single" w:sz="6" w:space="0" w:color="000000"/>
            </w:tcBorders>
          </w:tcPr>
          <w:p>
            <w:pPr>
              <w:pStyle w:val="TableParagraph"/>
              <w:ind w:left="0"/>
              <w:rPr>
                <w:rFonts w:ascii="Times New Roman"/>
                <w:sz w:val="22"/>
              </w:rPr>
            </w:pPr>
          </w:p>
          <w:p>
            <w:pPr>
              <w:pStyle w:val="TableParagraph"/>
              <w:spacing w:before="9"/>
              <w:ind w:left="0"/>
              <w:rPr>
                <w:rFonts w:ascii="Times New Roman"/>
                <w:sz w:val="22"/>
              </w:rPr>
            </w:pPr>
          </w:p>
          <w:p>
            <w:pPr>
              <w:pStyle w:val="TableParagraph"/>
              <w:ind w:left="105"/>
              <w:rPr>
                <w:rFonts w:ascii="Times New Roman"/>
                <w:sz w:val="21"/>
              </w:rPr>
            </w:pPr>
            <w:r>
              <w:rPr>
                <w:rFonts w:ascii="Times New Roman"/>
                <w:sz w:val="21"/>
              </w:rPr>
              <w:t>8.1.4.2</w:t>
            </w:r>
          </w:p>
        </w:tc>
        <w:tc>
          <w:tcPr>
            <w:tcW w:w="1135" w:type="dxa"/>
            <w:tcBorders>
              <w:left w:val="single" w:sz="6" w:space="0" w:color="000000"/>
            </w:tcBorders>
          </w:tcPr>
          <w:p>
            <w:pPr>
              <w:pStyle w:val="TableParagraph"/>
              <w:spacing w:before="193"/>
              <w:ind w:left="105"/>
              <w:rPr>
                <w:rFonts w:ascii="Times New Roman"/>
                <w:sz w:val="21"/>
              </w:rPr>
            </w:pPr>
            <w:r>
              <w:rPr>
                <w:rFonts w:ascii="Times New Roman"/>
                <w:sz w:val="21"/>
              </w:rPr>
              <w:t>4.3.1</w:t>
            </w:r>
          </w:p>
        </w:tc>
        <w:tc>
          <w:tcPr>
            <w:tcW w:w="3651" w:type="dxa"/>
          </w:tcPr>
          <w:p>
            <w:pPr>
              <w:pStyle w:val="TableParagraph"/>
              <w:spacing w:before="23"/>
              <w:rPr>
                <w:sz w:val="21"/>
              </w:rPr>
            </w:pPr>
            <w:r>
              <w:rPr>
                <w:sz w:val="21"/>
              </w:rPr>
              <w:t>危险源辨识、风险评价和控制措施的</w:t>
            </w:r>
          </w:p>
          <w:p>
            <w:pPr>
              <w:pStyle w:val="TableParagraph"/>
              <w:spacing w:before="43"/>
              <w:rPr>
                <w:sz w:val="21"/>
              </w:rPr>
            </w:pPr>
            <w:r>
              <w:rPr>
                <w:sz w:val="21"/>
              </w:rPr>
              <w:t>确定</w:t>
            </w:r>
          </w:p>
        </w:tc>
      </w:tr>
      <w:tr>
        <w:trPr>
          <w:trHeight w:val="312" w:hRule="atLeast"/>
        </w:trPr>
        <w:tc>
          <w:tcPr>
            <w:tcW w:w="3684" w:type="dxa"/>
            <w:vMerge/>
            <w:tcBorders>
              <w:top w:val="nil"/>
              <w:right w:val="single" w:sz="6" w:space="0" w:color="000000"/>
            </w:tcBorders>
          </w:tcPr>
          <w:p>
            <w:pPr>
              <w:rPr>
                <w:sz w:val="2"/>
                <w:szCs w:val="2"/>
              </w:rPr>
            </w:pPr>
          </w:p>
        </w:tc>
        <w:tc>
          <w:tcPr>
            <w:tcW w:w="1135" w:type="dxa"/>
            <w:vMerge/>
            <w:tcBorders>
              <w:top w:val="nil"/>
              <w:left w:val="single" w:sz="6" w:space="0" w:color="000000"/>
              <w:right w:val="single" w:sz="6" w:space="0" w:color="000000"/>
            </w:tcBorders>
          </w:tcPr>
          <w:p>
            <w:pPr>
              <w:rPr>
                <w:sz w:val="2"/>
                <w:szCs w:val="2"/>
              </w:rPr>
            </w:pPr>
          </w:p>
        </w:tc>
        <w:tc>
          <w:tcPr>
            <w:tcW w:w="1135" w:type="dxa"/>
            <w:tcBorders>
              <w:left w:val="single" w:sz="6" w:space="0" w:color="000000"/>
            </w:tcBorders>
          </w:tcPr>
          <w:p>
            <w:pPr>
              <w:pStyle w:val="TableParagraph"/>
              <w:spacing w:before="34"/>
              <w:ind w:left="105"/>
              <w:rPr>
                <w:rFonts w:ascii="Times New Roman"/>
                <w:sz w:val="21"/>
              </w:rPr>
            </w:pPr>
            <w:r>
              <w:rPr>
                <w:rFonts w:ascii="Times New Roman"/>
                <w:sz w:val="21"/>
              </w:rPr>
              <w:t>4.4.3.1</w:t>
            </w:r>
          </w:p>
        </w:tc>
        <w:tc>
          <w:tcPr>
            <w:tcW w:w="3651" w:type="dxa"/>
          </w:tcPr>
          <w:p>
            <w:pPr>
              <w:pStyle w:val="TableParagraph"/>
              <w:spacing w:before="21"/>
              <w:rPr>
                <w:sz w:val="21"/>
              </w:rPr>
            </w:pPr>
            <w:r>
              <w:rPr>
                <w:sz w:val="21"/>
              </w:rPr>
              <w:t>沟通</w:t>
            </w:r>
          </w:p>
        </w:tc>
      </w:tr>
      <w:tr>
        <w:trPr>
          <w:trHeight w:val="310" w:hRule="atLeast"/>
        </w:trPr>
        <w:tc>
          <w:tcPr>
            <w:tcW w:w="3684" w:type="dxa"/>
            <w:vMerge/>
            <w:tcBorders>
              <w:top w:val="nil"/>
              <w:right w:val="single" w:sz="6" w:space="0" w:color="000000"/>
            </w:tcBorders>
          </w:tcPr>
          <w:p>
            <w:pPr>
              <w:rPr>
                <w:sz w:val="2"/>
                <w:szCs w:val="2"/>
              </w:rPr>
            </w:pPr>
          </w:p>
        </w:tc>
        <w:tc>
          <w:tcPr>
            <w:tcW w:w="1135" w:type="dxa"/>
            <w:vMerge/>
            <w:tcBorders>
              <w:top w:val="nil"/>
              <w:left w:val="single" w:sz="6" w:space="0" w:color="000000"/>
              <w:right w:val="single" w:sz="6" w:space="0" w:color="000000"/>
            </w:tcBorders>
          </w:tcPr>
          <w:p>
            <w:pPr>
              <w:rPr>
                <w:sz w:val="2"/>
                <w:szCs w:val="2"/>
              </w:rPr>
            </w:pPr>
          </w:p>
        </w:tc>
        <w:tc>
          <w:tcPr>
            <w:tcW w:w="1135" w:type="dxa"/>
            <w:tcBorders>
              <w:left w:val="single" w:sz="6" w:space="0" w:color="000000"/>
            </w:tcBorders>
          </w:tcPr>
          <w:p>
            <w:pPr>
              <w:pStyle w:val="TableParagraph"/>
              <w:spacing w:before="34"/>
              <w:ind w:left="105"/>
              <w:rPr>
                <w:rFonts w:ascii="Times New Roman"/>
                <w:sz w:val="21"/>
              </w:rPr>
            </w:pPr>
            <w:r>
              <w:rPr>
                <w:rFonts w:ascii="Times New Roman"/>
                <w:sz w:val="21"/>
              </w:rPr>
              <w:t>4.4.3.2</w:t>
            </w:r>
          </w:p>
        </w:tc>
        <w:tc>
          <w:tcPr>
            <w:tcW w:w="3651" w:type="dxa"/>
          </w:tcPr>
          <w:p>
            <w:pPr>
              <w:pStyle w:val="TableParagraph"/>
              <w:spacing w:before="20"/>
              <w:rPr>
                <w:sz w:val="21"/>
              </w:rPr>
            </w:pPr>
            <w:r>
              <w:rPr>
                <w:sz w:val="21"/>
              </w:rPr>
              <w:t>参与和协商</w:t>
            </w:r>
          </w:p>
        </w:tc>
      </w:tr>
    </w:tbl>
    <w:p>
      <w:pPr>
        <w:spacing w:after="0"/>
        <w:rPr>
          <w:sz w:val="21"/>
        </w:rPr>
        <w:sectPr>
          <w:footerReference w:type="even" r:id="rId21"/>
          <w:footerReference w:type="default" r:id="rId22"/>
          <w:pgSz w:w="11910" w:h="16840"/>
          <w:pgMar w:footer="850" w:header="1442" w:top="1660" w:bottom="1040" w:left="1140" w:right="740"/>
          <w:pgNumType w:start="30"/>
        </w:sectPr>
      </w:pPr>
    </w:p>
    <w:p>
      <w:pPr>
        <w:pStyle w:val="BodyText"/>
        <w:spacing w:before="10"/>
        <w:rPr>
          <w:rFonts w:ascii="Times New Roman"/>
          <w:sz w:val="11"/>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4"/>
        <w:gridCol w:w="1135"/>
        <w:gridCol w:w="1135"/>
        <w:gridCol w:w="3651"/>
      </w:tblGrid>
      <w:tr>
        <w:trPr>
          <w:trHeight w:val="312" w:hRule="atLeast"/>
        </w:trPr>
        <w:tc>
          <w:tcPr>
            <w:tcW w:w="4819" w:type="dxa"/>
            <w:gridSpan w:val="2"/>
          </w:tcPr>
          <w:p>
            <w:pPr>
              <w:pStyle w:val="TableParagraph"/>
              <w:spacing w:before="21"/>
              <w:ind w:left="1569"/>
              <w:rPr>
                <w:rFonts w:ascii="Times New Roman" w:hAnsi="Times New Roman"/>
                <w:sz w:val="21"/>
              </w:rPr>
            </w:pPr>
            <w:r>
              <w:rPr>
                <w:rFonts w:ascii="Times New Roman" w:hAnsi="Times New Roman"/>
                <w:sz w:val="21"/>
              </w:rPr>
              <w:t>GB/T 45001</w:t>
            </w:r>
            <w:r>
              <w:rPr>
                <w:sz w:val="21"/>
              </w:rPr>
              <w:t>—</w:t>
            </w:r>
            <w:r>
              <w:rPr>
                <w:rFonts w:ascii="Times New Roman" w:hAnsi="Times New Roman"/>
                <w:sz w:val="21"/>
              </w:rPr>
              <w:t>2020</w:t>
            </w:r>
          </w:p>
        </w:tc>
        <w:tc>
          <w:tcPr>
            <w:tcW w:w="4786" w:type="dxa"/>
            <w:gridSpan w:val="2"/>
          </w:tcPr>
          <w:p>
            <w:pPr>
              <w:pStyle w:val="TableParagraph"/>
              <w:spacing w:before="34"/>
              <w:ind w:left="1555"/>
              <w:rPr>
                <w:rFonts w:ascii="Times New Roman" w:hAnsi="Times New Roman"/>
                <w:sz w:val="21"/>
              </w:rPr>
            </w:pPr>
            <w:r>
              <w:rPr>
                <w:rFonts w:ascii="Times New Roman" w:hAnsi="Times New Roman"/>
                <w:sz w:val="21"/>
              </w:rPr>
              <w:t>GB/T 28001—2011</w:t>
            </w:r>
          </w:p>
        </w:tc>
      </w:tr>
      <w:tr>
        <w:trPr>
          <w:trHeight w:val="312" w:hRule="atLeast"/>
        </w:trPr>
        <w:tc>
          <w:tcPr>
            <w:tcW w:w="3684" w:type="dxa"/>
          </w:tcPr>
          <w:p>
            <w:pPr>
              <w:pStyle w:val="TableParagraph"/>
              <w:spacing w:before="20"/>
              <w:ind w:left="1399" w:right="1394"/>
              <w:jc w:val="center"/>
              <w:rPr>
                <w:sz w:val="21"/>
              </w:rPr>
            </w:pPr>
            <w:r>
              <w:rPr>
                <w:sz w:val="21"/>
              </w:rPr>
              <w:t>章条标题</w:t>
            </w:r>
          </w:p>
        </w:tc>
        <w:tc>
          <w:tcPr>
            <w:tcW w:w="1135" w:type="dxa"/>
          </w:tcPr>
          <w:p>
            <w:pPr>
              <w:pStyle w:val="TableParagraph"/>
              <w:spacing w:before="20"/>
              <w:ind w:left="252"/>
              <w:rPr>
                <w:sz w:val="21"/>
              </w:rPr>
            </w:pPr>
            <w:r>
              <w:rPr>
                <w:sz w:val="21"/>
              </w:rPr>
              <w:t>章条号</w:t>
            </w:r>
          </w:p>
        </w:tc>
        <w:tc>
          <w:tcPr>
            <w:tcW w:w="1135" w:type="dxa"/>
          </w:tcPr>
          <w:p>
            <w:pPr>
              <w:pStyle w:val="TableParagraph"/>
              <w:spacing w:before="20"/>
              <w:ind w:left="252"/>
              <w:rPr>
                <w:sz w:val="21"/>
              </w:rPr>
            </w:pPr>
            <w:r>
              <w:rPr>
                <w:sz w:val="21"/>
              </w:rPr>
              <w:t>章条号</w:t>
            </w:r>
          </w:p>
        </w:tc>
        <w:tc>
          <w:tcPr>
            <w:tcW w:w="3651" w:type="dxa"/>
          </w:tcPr>
          <w:p>
            <w:pPr>
              <w:pStyle w:val="TableParagraph"/>
              <w:spacing w:before="20"/>
              <w:ind w:left="1383" w:right="1378"/>
              <w:jc w:val="center"/>
              <w:rPr>
                <w:sz w:val="21"/>
              </w:rPr>
            </w:pPr>
            <w:r>
              <w:rPr>
                <w:sz w:val="21"/>
              </w:rPr>
              <w:t>章条标题</w:t>
            </w:r>
          </w:p>
        </w:tc>
      </w:tr>
      <w:tr>
        <w:trPr>
          <w:trHeight w:val="458" w:hRule="atLeast"/>
        </w:trPr>
        <w:tc>
          <w:tcPr>
            <w:tcW w:w="3684" w:type="dxa"/>
            <w:tcBorders>
              <w:right w:val="single" w:sz="6" w:space="0" w:color="000000"/>
            </w:tcBorders>
          </w:tcPr>
          <w:p>
            <w:pPr>
              <w:pStyle w:val="TableParagraph"/>
              <w:ind w:left="0"/>
              <w:rPr>
                <w:rFonts w:ascii="Times New Roman"/>
                <w:sz w:val="20"/>
              </w:rPr>
            </w:pPr>
          </w:p>
        </w:tc>
        <w:tc>
          <w:tcPr>
            <w:tcW w:w="1135" w:type="dxa"/>
            <w:tcBorders>
              <w:left w:val="single" w:sz="6" w:space="0" w:color="000000"/>
              <w:bottom w:val="single" w:sz="6" w:space="0" w:color="000000"/>
              <w:right w:val="single" w:sz="6" w:space="0" w:color="000000"/>
            </w:tcBorders>
          </w:tcPr>
          <w:p>
            <w:pPr>
              <w:pStyle w:val="TableParagraph"/>
              <w:ind w:left="0"/>
              <w:rPr>
                <w:rFonts w:ascii="Times New Roman"/>
                <w:sz w:val="20"/>
              </w:rPr>
            </w:pPr>
          </w:p>
        </w:tc>
        <w:tc>
          <w:tcPr>
            <w:tcW w:w="1135" w:type="dxa"/>
            <w:tcBorders>
              <w:left w:val="single" w:sz="6" w:space="0" w:color="000000"/>
            </w:tcBorders>
          </w:tcPr>
          <w:p>
            <w:pPr>
              <w:pStyle w:val="TableParagraph"/>
              <w:spacing w:before="108"/>
              <w:ind w:left="105"/>
              <w:rPr>
                <w:rFonts w:ascii="Times New Roman"/>
                <w:sz w:val="21"/>
              </w:rPr>
            </w:pPr>
            <w:r>
              <w:rPr>
                <w:rFonts w:ascii="Times New Roman"/>
                <w:sz w:val="21"/>
              </w:rPr>
              <w:t>4.4.6</w:t>
            </w:r>
          </w:p>
        </w:tc>
        <w:tc>
          <w:tcPr>
            <w:tcW w:w="3651" w:type="dxa"/>
          </w:tcPr>
          <w:p>
            <w:pPr>
              <w:pStyle w:val="TableParagraph"/>
              <w:spacing w:before="94"/>
              <w:rPr>
                <w:sz w:val="21"/>
              </w:rPr>
            </w:pPr>
            <w:r>
              <w:rPr>
                <w:sz w:val="21"/>
              </w:rPr>
              <w:t>运行控制</w:t>
            </w:r>
          </w:p>
        </w:tc>
      </w:tr>
      <w:tr>
        <w:trPr>
          <w:trHeight w:val="312" w:hRule="atLeast"/>
        </w:trPr>
        <w:tc>
          <w:tcPr>
            <w:tcW w:w="3684" w:type="dxa"/>
            <w:vMerge w:val="restart"/>
            <w:tcBorders>
              <w:right w:val="single" w:sz="6" w:space="0" w:color="000000"/>
            </w:tcBorders>
          </w:tcPr>
          <w:p>
            <w:pPr>
              <w:pStyle w:val="TableParagraph"/>
              <w:ind w:left="0"/>
              <w:rPr>
                <w:rFonts w:ascii="Times New Roman"/>
                <w:sz w:val="20"/>
              </w:rPr>
            </w:pPr>
          </w:p>
          <w:p>
            <w:pPr>
              <w:pStyle w:val="TableParagraph"/>
              <w:spacing w:before="115"/>
              <w:rPr>
                <w:sz w:val="21"/>
              </w:rPr>
            </w:pPr>
            <w:r>
              <w:rPr>
                <w:sz w:val="21"/>
              </w:rPr>
              <w:t>外包</w:t>
            </w:r>
          </w:p>
        </w:tc>
        <w:tc>
          <w:tcPr>
            <w:tcW w:w="113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3"/>
              <w:ind w:left="0"/>
              <w:rPr>
                <w:rFonts w:ascii="Times New Roman"/>
                <w:sz w:val="31"/>
              </w:rPr>
            </w:pPr>
          </w:p>
          <w:p>
            <w:pPr>
              <w:pStyle w:val="TableParagraph"/>
              <w:ind w:left="105"/>
              <w:rPr>
                <w:rFonts w:ascii="Times New Roman"/>
                <w:sz w:val="21"/>
              </w:rPr>
            </w:pPr>
            <w:r>
              <w:rPr>
                <w:rFonts w:ascii="Times New Roman"/>
                <w:sz w:val="21"/>
              </w:rPr>
              <w:t>8.1.4.3</w:t>
            </w:r>
          </w:p>
        </w:tc>
        <w:tc>
          <w:tcPr>
            <w:tcW w:w="1135" w:type="dxa"/>
            <w:tcBorders>
              <w:left w:val="single" w:sz="6" w:space="0" w:color="000000"/>
            </w:tcBorders>
          </w:tcPr>
          <w:p>
            <w:pPr>
              <w:pStyle w:val="TableParagraph"/>
              <w:spacing w:before="38"/>
              <w:ind w:left="105"/>
              <w:rPr>
                <w:rFonts w:ascii="Times New Roman"/>
                <w:sz w:val="21"/>
              </w:rPr>
            </w:pPr>
            <w:r>
              <w:rPr>
                <w:rFonts w:ascii="Times New Roman"/>
                <w:sz w:val="21"/>
              </w:rPr>
              <w:t>4.3.2</w:t>
            </w:r>
          </w:p>
        </w:tc>
        <w:tc>
          <w:tcPr>
            <w:tcW w:w="3651" w:type="dxa"/>
          </w:tcPr>
          <w:p>
            <w:pPr>
              <w:pStyle w:val="TableParagraph"/>
              <w:spacing w:line="268" w:lineRule="exact" w:before="24"/>
              <w:rPr>
                <w:sz w:val="21"/>
              </w:rPr>
            </w:pPr>
            <w:r>
              <w:rPr>
                <w:sz w:val="21"/>
              </w:rPr>
              <w:t>法律法规和其他要求</w:t>
            </w:r>
          </w:p>
        </w:tc>
      </w:tr>
      <w:tr>
        <w:trPr>
          <w:trHeight w:val="307" w:hRule="atLeast"/>
        </w:trPr>
        <w:tc>
          <w:tcPr>
            <w:tcW w:w="3684" w:type="dxa"/>
            <w:vMerge/>
            <w:tcBorders>
              <w:top w:val="nil"/>
              <w:right w:val="single" w:sz="6" w:space="0" w:color="000000"/>
            </w:tcBorders>
          </w:tcPr>
          <w:p>
            <w:pPr>
              <w:rPr>
                <w:sz w:val="2"/>
                <w:szCs w:val="2"/>
              </w:rPr>
            </w:pPr>
          </w:p>
        </w:tc>
        <w:tc>
          <w:tcPr>
            <w:tcW w:w="1135" w:type="dxa"/>
            <w:vMerge/>
            <w:tcBorders>
              <w:top w:val="nil"/>
              <w:left w:val="single" w:sz="6" w:space="0" w:color="000000"/>
              <w:bottom w:val="single" w:sz="6" w:space="0" w:color="000000"/>
              <w:right w:val="single" w:sz="6" w:space="0" w:color="000000"/>
            </w:tcBorders>
          </w:tcPr>
          <w:p>
            <w:pPr>
              <w:rPr>
                <w:sz w:val="2"/>
                <w:szCs w:val="2"/>
              </w:rPr>
            </w:pPr>
          </w:p>
        </w:tc>
        <w:tc>
          <w:tcPr>
            <w:tcW w:w="1135" w:type="dxa"/>
            <w:tcBorders>
              <w:left w:val="single" w:sz="6" w:space="0" w:color="000000"/>
            </w:tcBorders>
          </w:tcPr>
          <w:p>
            <w:pPr>
              <w:pStyle w:val="TableParagraph"/>
              <w:spacing w:before="32"/>
              <w:ind w:left="105"/>
              <w:rPr>
                <w:rFonts w:ascii="Times New Roman"/>
                <w:sz w:val="21"/>
              </w:rPr>
            </w:pPr>
            <w:r>
              <w:rPr>
                <w:rFonts w:ascii="Times New Roman"/>
                <w:sz w:val="21"/>
              </w:rPr>
              <w:t>4.4.3.1</w:t>
            </w:r>
          </w:p>
        </w:tc>
        <w:tc>
          <w:tcPr>
            <w:tcW w:w="3651" w:type="dxa"/>
          </w:tcPr>
          <w:p>
            <w:pPr>
              <w:pStyle w:val="TableParagraph"/>
              <w:spacing w:line="268" w:lineRule="exact" w:before="18"/>
              <w:rPr>
                <w:sz w:val="21"/>
              </w:rPr>
            </w:pPr>
            <w:r>
              <w:rPr>
                <w:sz w:val="21"/>
              </w:rPr>
              <w:t>沟通</w:t>
            </w:r>
          </w:p>
        </w:tc>
      </w:tr>
      <w:tr>
        <w:trPr>
          <w:trHeight w:val="306" w:hRule="atLeast"/>
        </w:trPr>
        <w:tc>
          <w:tcPr>
            <w:tcW w:w="3684" w:type="dxa"/>
            <w:vMerge/>
            <w:tcBorders>
              <w:top w:val="nil"/>
              <w:right w:val="single" w:sz="6" w:space="0" w:color="000000"/>
            </w:tcBorders>
          </w:tcPr>
          <w:p>
            <w:pPr>
              <w:rPr>
                <w:sz w:val="2"/>
                <w:szCs w:val="2"/>
              </w:rPr>
            </w:pPr>
          </w:p>
        </w:tc>
        <w:tc>
          <w:tcPr>
            <w:tcW w:w="1135" w:type="dxa"/>
            <w:vMerge/>
            <w:tcBorders>
              <w:top w:val="nil"/>
              <w:left w:val="single" w:sz="6" w:space="0" w:color="000000"/>
              <w:bottom w:val="single" w:sz="6" w:space="0" w:color="000000"/>
              <w:right w:val="single" w:sz="6" w:space="0" w:color="000000"/>
            </w:tcBorders>
          </w:tcPr>
          <w:p>
            <w:pPr>
              <w:rPr>
                <w:sz w:val="2"/>
                <w:szCs w:val="2"/>
              </w:rPr>
            </w:pPr>
          </w:p>
        </w:tc>
        <w:tc>
          <w:tcPr>
            <w:tcW w:w="1135" w:type="dxa"/>
            <w:tcBorders>
              <w:left w:val="single" w:sz="6" w:space="0" w:color="000000"/>
            </w:tcBorders>
          </w:tcPr>
          <w:p>
            <w:pPr>
              <w:pStyle w:val="TableParagraph"/>
              <w:spacing w:before="32"/>
              <w:ind w:left="105"/>
              <w:rPr>
                <w:rFonts w:ascii="Times New Roman"/>
                <w:sz w:val="21"/>
              </w:rPr>
            </w:pPr>
            <w:r>
              <w:rPr>
                <w:rFonts w:ascii="Times New Roman"/>
                <w:sz w:val="21"/>
              </w:rPr>
              <w:t>4.4.6</w:t>
            </w:r>
          </w:p>
        </w:tc>
        <w:tc>
          <w:tcPr>
            <w:tcW w:w="3651" w:type="dxa"/>
          </w:tcPr>
          <w:p>
            <w:pPr>
              <w:pStyle w:val="TableParagraph"/>
              <w:spacing w:line="269" w:lineRule="exact" w:before="18"/>
              <w:rPr>
                <w:sz w:val="21"/>
              </w:rPr>
            </w:pPr>
            <w:r>
              <w:rPr>
                <w:sz w:val="21"/>
              </w:rPr>
              <w:t>运行控制</w:t>
            </w:r>
          </w:p>
        </w:tc>
      </w:tr>
      <w:tr>
        <w:trPr>
          <w:trHeight w:val="314" w:hRule="atLeast"/>
        </w:trPr>
        <w:tc>
          <w:tcPr>
            <w:tcW w:w="3684" w:type="dxa"/>
          </w:tcPr>
          <w:p>
            <w:pPr>
              <w:pStyle w:val="TableParagraph"/>
              <w:spacing w:before="22"/>
              <w:rPr>
                <w:sz w:val="21"/>
              </w:rPr>
            </w:pPr>
            <w:r>
              <w:rPr>
                <w:sz w:val="21"/>
              </w:rPr>
              <w:t>应急准备和响应</w:t>
            </w:r>
          </w:p>
        </w:tc>
        <w:tc>
          <w:tcPr>
            <w:tcW w:w="1135" w:type="dxa"/>
            <w:tcBorders>
              <w:top w:val="single" w:sz="6" w:space="0" w:color="000000"/>
            </w:tcBorders>
          </w:tcPr>
          <w:p>
            <w:pPr>
              <w:pStyle w:val="TableParagraph"/>
              <w:spacing w:before="36"/>
              <w:rPr>
                <w:rFonts w:ascii="Times New Roman"/>
                <w:sz w:val="21"/>
              </w:rPr>
            </w:pPr>
            <w:r>
              <w:rPr>
                <w:rFonts w:ascii="Times New Roman"/>
                <w:sz w:val="21"/>
              </w:rPr>
              <w:t>8.2</w:t>
            </w:r>
          </w:p>
        </w:tc>
        <w:tc>
          <w:tcPr>
            <w:tcW w:w="1135" w:type="dxa"/>
          </w:tcPr>
          <w:p>
            <w:pPr>
              <w:pStyle w:val="TableParagraph"/>
              <w:spacing w:before="36"/>
              <w:rPr>
                <w:rFonts w:ascii="Times New Roman"/>
                <w:sz w:val="21"/>
              </w:rPr>
            </w:pPr>
            <w:r>
              <w:rPr>
                <w:rFonts w:ascii="Times New Roman"/>
                <w:sz w:val="21"/>
              </w:rPr>
              <w:t>4.4.7</w:t>
            </w:r>
          </w:p>
        </w:tc>
        <w:tc>
          <w:tcPr>
            <w:tcW w:w="3651" w:type="dxa"/>
          </w:tcPr>
          <w:p>
            <w:pPr>
              <w:pStyle w:val="TableParagraph"/>
              <w:spacing w:before="22"/>
              <w:rPr>
                <w:sz w:val="21"/>
              </w:rPr>
            </w:pPr>
            <w:r>
              <w:rPr>
                <w:sz w:val="21"/>
              </w:rPr>
              <w:t>应急准备和响应</w:t>
            </w:r>
          </w:p>
        </w:tc>
      </w:tr>
      <w:tr>
        <w:trPr>
          <w:trHeight w:val="312" w:hRule="atLeast"/>
        </w:trPr>
        <w:tc>
          <w:tcPr>
            <w:tcW w:w="3684" w:type="dxa"/>
          </w:tcPr>
          <w:p>
            <w:pPr>
              <w:pStyle w:val="TableParagraph"/>
              <w:spacing w:before="22"/>
              <w:rPr>
                <w:sz w:val="21"/>
              </w:rPr>
            </w:pPr>
            <w:r>
              <w:rPr>
                <w:sz w:val="21"/>
              </w:rPr>
              <w:t>绩效评价（仅标题）</w:t>
            </w:r>
          </w:p>
        </w:tc>
        <w:tc>
          <w:tcPr>
            <w:tcW w:w="1135" w:type="dxa"/>
          </w:tcPr>
          <w:p>
            <w:pPr>
              <w:pStyle w:val="TableParagraph"/>
              <w:spacing w:before="36"/>
              <w:rPr>
                <w:rFonts w:ascii="Times New Roman"/>
                <w:sz w:val="21"/>
              </w:rPr>
            </w:pPr>
            <w:r>
              <w:rPr>
                <w:rFonts w:ascii="Times New Roman"/>
                <w:w w:val="99"/>
                <w:sz w:val="21"/>
              </w:rPr>
              <w:t>9</w:t>
            </w:r>
          </w:p>
        </w:tc>
        <w:tc>
          <w:tcPr>
            <w:tcW w:w="1135" w:type="dxa"/>
          </w:tcPr>
          <w:p>
            <w:pPr>
              <w:pStyle w:val="TableParagraph"/>
              <w:spacing w:before="36"/>
              <w:rPr>
                <w:rFonts w:ascii="Times New Roman"/>
                <w:sz w:val="21"/>
              </w:rPr>
            </w:pPr>
            <w:r>
              <w:rPr>
                <w:rFonts w:ascii="Times New Roman"/>
                <w:sz w:val="21"/>
              </w:rPr>
              <w:t>4.5</w:t>
            </w:r>
          </w:p>
        </w:tc>
        <w:tc>
          <w:tcPr>
            <w:tcW w:w="3651" w:type="dxa"/>
          </w:tcPr>
          <w:p>
            <w:pPr>
              <w:pStyle w:val="TableParagraph"/>
              <w:spacing w:before="22"/>
              <w:rPr>
                <w:sz w:val="21"/>
              </w:rPr>
            </w:pPr>
            <w:r>
              <w:rPr>
                <w:sz w:val="21"/>
              </w:rPr>
              <w:t>检查（仅标题）</w:t>
            </w:r>
          </w:p>
        </w:tc>
      </w:tr>
      <w:tr>
        <w:trPr>
          <w:trHeight w:val="312" w:hRule="atLeast"/>
        </w:trPr>
        <w:tc>
          <w:tcPr>
            <w:tcW w:w="3684" w:type="dxa"/>
          </w:tcPr>
          <w:p>
            <w:pPr>
              <w:pStyle w:val="TableParagraph"/>
              <w:spacing w:before="22"/>
              <w:ind w:right="-15"/>
              <w:rPr>
                <w:sz w:val="21"/>
              </w:rPr>
            </w:pPr>
            <w:r>
              <w:rPr>
                <w:spacing w:val="-20"/>
                <w:sz w:val="21"/>
              </w:rPr>
              <w:t>监视、测量、分析和评价绩效</w:t>
            </w:r>
            <w:r>
              <w:rPr>
                <w:sz w:val="21"/>
              </w:rPr>
              <w:t>（仅标题）</w:t>
            </w:r>
          </w:p>
        </w:tc>
        <w:tc>
          <w:tcPr>
            <w:tcW w:w="1135" w:type="dxa"/>
          </w:tcPr>
          <w:p>
            <w:pPr>
              <w:pStyle w:val="TableParagraph"/>
              <w:spacing w:before="35"/>
              <w:rPr>
                <w:rFonts w:ascii="Times New Roman"/>
                <w:sz w:val="21"/>
              </w:rPr>
            </w:pPr>
            <w:r>
              <w:rPr>
                <w:rFonts w:ascii="Times New Roman"/>
                <w:sz w:val="21"/>
              </w:rPr>
              <w:t>9.1</w:t>
            </w:r>
          </w:p>
        </w:tc>
        <w:tc>
          <w:tcPr>
            <w:tcW w:w="1135" w:type="dxa"/>
            <w:vMerge w:val="restart"/>
          </w:tcPr>
          <w:p>
            <w:pPr>
              <w:pStyle w:val="TableParagraph"/>
              <w:spacing w:before="196"/>
              <w:rPr>
                <w:rFonts w:ascii="Times New Roman"/>
                <w:sz w:val="21"/>
              </w:rPr>
            </w:pPr>
            <w:r>
              <w:rPr>
                <w:rFonts w:ascii="Times New Roman"/>
                <w:sz w:val="21"/>
              </w:rPr>
              <w:t>4.5.1</w:t>
            </w:r>
          </w:p>
        </w:tc>
        <w:tc>
          <w:tcPr>
            <w:tcW w:w="3651" w:type="dxa"/>
            <w:vMerge w:val="restart"/>
          </w:tcPr>
          <w:p>
            <w:pPr>
              <w:pStyle w:val="TableParagraph"/>
              <w:spacing w:before="10"/>
              <w:ind w:left="0"/>
              <w:rPr>
                <w:rFonts w:ascii="Times New Roman"/>
                <w:sz w:val="15"/>
              </w:rPr>
            </w:pPr>
          </w:p>
          <w:p>
            <w:pPr>
              <w:pStyle w:val="TableParagraph"/>
              <w:rPr>
                <w:sz w:val="21"/>
              </w:rPr>
            </w:pPr>
            <w:r>
              <w:rPr>
                <w:sz w:val="21"/>
              </w:rPr>
              <w:t>绩效测量和监视</w:t>
            </w:r>
          </w:p>
        </w:tc>
      </w:tr>
      <w:tr>
        <w:trPr>
          <w:trHeight w:val="312" w:hRule="atLeast"/>
        </w:trPr>
        <w:tc>
          <w:tcPr>
            <w:tcW w:w="3684" w:type="dxa"/>
          </w:tcPr>
          <w:p>
            <w:pPr>
              <w:pStyle w:val="TableParagraph"/>
              <w:spacing w:before="21"/>
              <w:rPr>
                <w:sz w:val="21"/>
              </w:rPr>
            </w:pPr>
            <w:r>
              <w:rPr>
                <w:sz w:val="21"/>
              </w:rPr>
              <w:t>总则</w:t>
            </w:r>
          </w:p>
        </w:tc>
        <w:tc>
          <w:tcPr>
            <w:tcW w:w="1135" w:type="dxa"/>
          </w:tcPr>
          <w:p>
            <w:pPr>
              <w:pStyle w:val="TableParagraph"/>
              <w:spacing w:before="35"/>
              <w:rPr>
                <w:rFonts w:ascii="Times New Roman"/>
                <w:sz w:val="21"/>
              </w:rPr>
            </w:pPr>
            <w:r>
              <w:rPr>
                <w:rFonts w:ascii="Times New Roman"/>
                <w:sz w:val="21"/>
              </w:rPr>
              <w:t>9.1.1</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311" w:hRule="atLeast"/>
        </w:trPr>
        <w:tc>
          <w:tcPr>
            <w:tcW w:w="3684" w:type="dxa"/>
          </w:tcPr>
          <w:p>
            <w:pPr>
              <w:pStyle w:val="TableParagraph"/>
              <w:spacing w:before="21"/>
              <w:rPr>
                <w:sz w:val="21"/>
              </w:rPr>
            </w:pPr>
            <w:r>
              <w:rPr>
                <w:sz w:val="21"/>
              </w:rPr>
              <w:t>合规性评价</w:t>
            </w:r>
          </w:p>
        </w:tc>
        <w:tc>
          <w:tcPr>
            <w:tcW w:w="1135" w:type="dxa"/>
          </w:tcPr>
          <w:p>
            <w:pPr>
              <w:pStyle w:val="TableParagraph"/>
              <w:spacing w:before="35"/>
              <w:rPr>
                <w:rFonts w:ascii="Times New Roman"/>
                <w:sz w:val="21"/>
              </w:rPr>
            </w:pPr>
            <w:r>
              <w:rPr>
                <w:rFonts w:ascii="Times New Roman"/>
                <w:sz w:val="21"/>
              </w:rPr>
              <w:t>9.1.2</w:t>
            </w:r>
          </w:p>
        </w:tc>
        <w:tc>
          <w:tcPr>
            <w:tcW w:w="1135" w:type="dxa"/>
          </w:tcPr>
          <w:p>
            <w:pPr>
              <w:pStyle w:val="TableParagraph"/>
              <w:spacing w:before="35"/>
              <w:rPr>
                <w:rFonts w:ascii="Times New Roman"/>
                <w:sz w:val="21"/>
              </w:rPr>
            </w:pPr>
            <w:r>
              <w:rPr>
                <w:rFonts w:ascii="Times New Roman"/>
                <w:sz w:val="21"/>
              </w:rPr>
              <w:t>4.5.2</w:t>
            </w:r>
          </w:p>
        </w:tc>
        <w:tc>
          <w:tcPr>
            <w:tcW w:w="3651" w:type="dxa"/>
          </w:tcPr>
          <w:p>
            <w:pPr>
              <w:pStyle w:val="TableParagraph"/>
              <w:spacing w:before="21"/>
              <w:rPr>
                <w:sz w:val="21"/>
              </w:rPr>
            </w:pPr>
            <w:r>
              <w:rPr>
                <w:sz w:val="21"/>
              </w:rPr>
              <w:t>合规性评价</w:t>
            </w:r>
          </w:p>
        </w:tc>
      </w:tr>
      <w:tr>
        <w:trPr>
          <w:trHeight w:val="312" w:hRule="atLeast"/>
        </w:trPr>
        <w:tc>
          <w:tcPr>
            <w:tcW w:w="3684" w:type="dxa"/>
          </w:tcPr>
          <w:p>
            <w:pPr>
              <w:pStyle w:val="TableParagraph"/>
              <w:spacing w:before="20"/>
              <w:rPr>
                <w:sz w:val="21"/>
              </w:rPr>
            </w:pPr>
            <w:r>
              <w:rPr>
                <w:sz w:val="21"/>
              </w:rPr>
              <w:t>内部审核（仅标题）</w:t>
            </w:r>
          </w:p>
        </w:tc>
        <w:tc>
          <w:tcPr>
            <w:tcW w:w="1135" w:type="dxa"/>
          </w:tcPr>
          <w:p>
            <w:pPr>
              <w:pStyle w:val="TableParagraph"/>
              <w:spacing w:before="34"/>
              <w:rPr>
                <w:rFonts w:ascii="Times New Roman"/>
                <w:sz w:val="21"/>
              </w:rPr>
            </w:pPr>
            <w:r>
              <w:rPr>
                <w:rFonts w:ascii="Times New Roman"/>
                <w:sz w:val="21"/>
              </w:rPr>
              <w:t>9.2</w:t>
            </w:r>
          </w:p>
        </w:tc>
        <w:tc>
          <w:tcPr>
            <w:tcW w:w="1135" w:type="dxa"/>
            <w:vMerge w:val="restart"/>
          </w:tcPr>
          <w:p>
            <w:pPr>
              <w:pStyle w:val="TableParagraph"/>
              <w:spacing w:before="11"/>
              <w:ind w:left="0"/>
              <w:rPr>
                <w:rFonts w:ascii="Times New Roman"/>
                <w:sz w:val="30"/>
              </w:rPr>
            </w:pPr>
          </w:p>
          <w:p>
            <w:pPr>
              <w:pStyle w:val="TableParagraph"/>
              <w:rPr>
                <w:rFonts w:ascii="Times New Roman"/>
                <w:sz w:val="21"/>
              </w:rPr>
            </w:pPr>
            <w:r>
              <w:rPr>
                <w:rFonts w:ascii="Times New Roman"/>
                <w:sz w:val="21"/>
              </w:rPr>
              <w:t>4.5.5</w:t>
            </w:r>
          </w:p>
        </w:tc>
        <w:tc>
          <w:tcPr>
            <w:tcW w:w="3651" w:type="dxa"/>
            <w:vMerge w:val="restart"/>
          </w:tcPr>
          <w:p>
            <w:pPr>
              <w:pStyle w:val="TableParagraph"/>
              <w:spacing w:before="8"/>
              <w:ind w:left="0"/>
              <w:rPr>
                <w:rFonts w:ascii="Times New Roman"/>
                <w:sz w:val="29"/>
              </w:rPr>
            </w:pPr>
          </w:p>
          <w:p>
            <w:pPr>
              <w:pStyle w:val="TableParagraph"/>
              <w:rPr>
                <w:sz w:val="21"/>
              </w:rPr>
            </w:pPr>
            <w:r>
              <w:rPr>
                <w:sz w:val="21"/>
              </w:rPr>
              <w:t>内部审核</w:t>
            </w:r>
          </w:p>
        </w:tc>
      </w:tr>
      <w:tr>
        <w:trPr>
          <w:trHeight w:val="312" w:hRule="atLeast"/>
        </w:trPr>
        <w:tc>
          <w:tcPr>
            <w:tcW w:w="3684" w:type="dxa"/>
          </w:tcPr>
          <w:p>
            <w:pPr>
              <w:pStyle w:val="TableParagraph"/>
              <w:spacing w:before="20"/>
              <w:rPr>
                <w:sz w:val="21"/>
              </w:rPr>
            </w:pPr>
            <w:r>
              <w:rPr>
                <w:sz w:val="21"/>
              </w:rPr>
              <w:t>总则</w:t>
            </w:r>
          </w:p>
        </w:tc>
        <w:tc>
          <w:tcPr>
            <w:tcW w:w="1135" w:type="dxa"/>
          </w:tcPr>
          <w:p>
            <w:pPr>
              <w:pStyle w:val="TableParagraph"/>
              <w:spacing w:before="34"/>
              <w:rPr>
                <w:rFonts w:ascii="Times New Roman"/>
                <w:sz w:val="21"/>
              </w:rPr>
            </w:pPr>
            <w:r>
              <w:rPr>
                <w:rFonts w:ascii="Times New Roman"/>
                <w:sz w:val="21"/>
              </w:rPr>
              <w:t>9.2.1</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311" w:hRule="atLeast"/>
        </w:trPr>
        <w:tc>
          <w:tcPr>
            <w:tcW w:w="3684" w:type="dxa"/>
          </w:tcPr>
          <w:p>
            <w:pPr>
              <w:pStyle w:val="TableParagraph"/>
              <w:spacing w:before="22"/>
              <w:rPr>
                <w:sz w:val="21"/>
              </w:rPr>
            </w:pPr>
            <w:r>
              <w:rPr>
                <w:sz w:val="21"/>
              </w:rPr>
              <w:t>内部审核方案</w:t>
            </w:r>
          </w:p>
        </w:tc>
        <w:tc>
          <w:tcPr>
            <w:tcW w:w="1135" w:type="dxa"/>
          </w:tcPr>
          <w:p>
            <w:pPr>
              <w:pStyle w:val="TableParagraph"/>
              <w:spacing w:before="36"/>
              <w:rPr>
                <w:rFonts w:ascii="Times New Roman"/>
                <w:sz w:val="21"/>
              </w:rPr>
            </w:pPr>
            <w:r>
              <w:rPr>
                <w:rFonts w:ascii="Times New Roman"/>
                <w:sz w:val="21"/>
              </w:rPr>
              <w:t>9.2.2</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312" w:hRule="atLeast"/>
        </w:trPr>
        <w:tc>
          <w:tcPr>
            <w:tcW w:w="3684" w:type="dxa"/>
          </w:tcPr>
          <w:p>
            <w:pPr>
              <w:pStyle w:val="TableParagraph"/>
              <w:spacing w:before="22"/>
              <w:rPr>
                <w:sz w:val="21"/>
              </w:rPr>
            </w:pPr>
            <w:r>
              <w:rPr>
                <w:sz w:val="21"/>
              </w:rPr>
              <w:t>管理评审</w:t>
            </w:r>
          </w:p>
        </w:tc>
        <w:tc>
          <w:tcPr>
            <w:tcW w:w="1135" w:type="dxa"/>
          </w:tcPr>
          <w:p>
            <w:pPr>
              <w:pStyle w:val="TableParagraph"/>
              <w:spacing w:before="35"/>
              <w:rPr>
                <w:rFonts w:ascii="Times New Roman"/>
                <w:sz w:val="21"/>
              </w:rPr>
            </w:pPr>
            <w:r>
              <w:rPr>
                <w:rFonts w:ascii="Times New Roman"/>
                <w:sz w:val="21"/>
              </w:rPr>
              <w:t>9.3</w:t>
            </w:r>
          </w:p>
        </w:tc>
        <w:tc>
          <w:tcPr>
            <w:tcW w:w="1135" w:type="dxa"/>
            <w:vMerge w:val="restart"/>
          </w:tcPr>
          <w:p>
            <w:pPr>
              <w:pStyle w:val="TableParagraph"/>
              <w:ind w:left="0"/>
              <w:rPr>
                <w:rFonts w:ascii="Times New Roman"/>
                <w:sz w:val="31"/>
              </w:rPr>
            </w:pPr>
          </w:p>
          <w:p>
            <w:pPr>
              <w:pStyle w:val="TableParagraph"/>
              <w:spacing w:before="1"/>
              <w:rPr>
                <w:rFonts w:ascii="Times New Roman"/>
                <w:sz w:val="21"/>
              </w:rPr>
            </w:pPr>
            <w:r>
              <w:rPr>
                <w:rFonts w:ascii="Times New Roman"/>
                <w:sz w:val="21"/>
              </w:rPr>
              <w:t>4.6</w:t>
            </w:r>
          </w:p>
        </w:tc>
        <w:tc>
          <w:tcPr>
            <w:tcW w:w="3651" w:type="dxa"/>
            <w:vMerge w:val="restart"/>
          </w:tcPr>
          <w:p>
            <w:pPr>
              <w:pStyle w:val="TableParagraph"/>
              <w:spacing w:before="9"/>
              <w:ind w:left="0"/>
              <w:rPr>
                <w:rFonts w:ascii="Times New Roman"/>
                <w:sz w:val="29"/>
              </w:rPr>
            </w:pPr>
          </w:p>
          <w:p>
            <w:pPr>
              <w:pStyle w:val="TableParagraph"/>
              <w:spacing w:before="1"/>
              <w:rPr>
                <w:sz w:val="21"/>
              </w:rPr>
            </w:pPr>
            <w:r>
              <w:rPr>
                <w:sz w:val="21"/>
              </w:rPr>
              <w:t>管理评审</w:t>
            </w:r>
          </w:p>
        </w:tc>
      </w:tr>
      <w:tr>
        <w:trPr>
          <w:trHeight w:val="312" w:hRule="atLeast"/>
        </w:trPr>
        <w:tc>
          <w:tcPr>
            <w:tcW w:w="3684" w:type="dxa"/>
          </w:tcPr>
          <w:p>
            <w:pPr>
              <w:pStyle w:val="TableParagraph"/>
              <w:spacing w:before="21"/>
              <w:rPr>
                <w:sz w:val="21"/>
              </w:rPr>
            </w:pPr>
            <w:r>
              <w:rPr>
                <w:sz w:val="21"/>
              </w:rPr>
              <w:t>改进（仅标题）</w:t>
            </w:r>
          </w:p>
        </w:tc>
        <w:tc>
          <w:tcPr>
            <w:tcW w:w="1135" w:type="dxa"/>
          </w:tcPr>
          <w:p>
            <w:pPr>
              <w:pStyle w:val="TableParagraph"/>
              <w:spacing w:before="35"/>
              <w:rPr>
                <w:rFonts w:ascii="Times New Roman"/>
                <w:sz w:val="21"/>
              </w:rPr>
            </w:pPr>
            <w:r>
              <w:rPr>
                <w:rFonts w:ascii="Times New Roman"/>
                <w:sz w:val="21"/>
              </w:rPr>
              <w:t>10</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311" w:hRule="atLeast"/>
        </w:trPr>
        <w:tc>
          <w:tcPr>
            <w:tcW w:w="3684" w:type="dxa"/>
          </w:tcPr>
          <w:p>
            <w:pPr>
              <w:pStyle w:val="TableParagraph"/>
              <w:spacing w:before="21"/>
              <w:rPr>
                <w:sz w:val="21"/>
              </w:rPr>
            </w:pPr>
            <w:r>
              <w:rPr>
                <w:sz w:val="21"/>
              </w:rPr>
              <w:t>总则</w:t>
            </w:r>
          </w:p>
        </w:tc>
        <w:tc>
          <w:tcPr>
            <w:tcW w:w="1135" w:type="dxa"/>
          </w:tcPr>
          <w:p>
            <w:pPr>
              <w:pStyle w:val="TableParagraph"/>
              <w:spacing w:before="35"/>
              <w:rPr>
                <w:rFonts w:ascii="Times New Roman"/>
                <w:sz w:val="21"/>
              </w:rPr>
            </w:pPr>
            <w:r>
              <w:rPr>
                <w:rFonts w:ascii="Times New Roman"/>
                <w:sz w:val="21"/>
              </w:rPr>
              <w:t>10.1</w:t>
            </w:r>
          </w:p>
        </w:tc>
        <w:tc>
          <w:tcPr>
            <w:tcW w:w="1135" w:type="dxa"/>
            <w:vMerge/>
            <w:tcBorders>
              <w:top w:val="nil"/>
            </w:tcBorders>
          </w:tcPr>
          <w:p>
            <w:pPr>
              <w:rPr>
                <w:sz w:val="2"/>
                <w:szCs w:val="2"/>
              </w:rPr>
            </w:pPr>
          </w:p>
        </w:tc>
        <w:tc>
          <w:tcPr>
            <w:tcW w:w="3651" w:type="dxa"/>
            <w:vMerge/>
            <w:tcBorders>
              <w:top w:val="nil"/>
            </w:tcBorders>
          </w:tcPr>
          <w:p>
            <w:pPr>
              <w:rPr>
                <w:sz w:val="2"/>
                <w:szCs w:val="2"/>
              </w:rPr>
            </w:pPr>
          </w:p>
        </w:tc>
      </w:tr>
      <w:tr>
        <w:trPr>
          <w:trHeight w:val="623" w:hRule="atLeast"/>
        </w:trPr>
        <w:tc>
          <w:tcPr>
            <w:tcW w:w="3684" w:type="dxa"/>
            <w:vMerge w:val="restart"/>
          </w:tcPr>
          <w:p>
            <w:pPr>
              <w:pStyle w:val="TableParagraph"/>
              <w:ind w:left="0"/>
              <w:rPr>
                <w:rFonts w:ascii="Times New Roman"/>
                <w:sz w:val="20"/>
              </w:rPr>
            </w:pPr>
          </w:p>
          <w:p>
            <w:pPr>
              <w:pStyle w:val="TableParagraph"/>
              <w:spacing w:before="3"/>
              <w:ind w:left="0"/>
              <w:rPr>
                <w:rFonts w:ascii="Times New Roman"/>
                <w:sz w:val="23"/>
              </w:rPr>
            </w:pPr>
          </w:p>
          <w:p>
            <w:pPr>
              <w:pStyle w:val="TableParagraph"/>
              <w:rPr>
                <w:sz w:val="21"/>
              </w:rPr>
            </w:pPr>
            <w:r>
              <w:rPr>
                <w:sz w:val="21"/>
              </w:rPr>
              <w:t>事件、不符合和纠正措施</w:t>
            </w:r>
          </w:p>
        </w:tc>
        <w:tc>
          <w:tcPr>
            <w:tcW w:w="1135" w:type="dxa"/>
            <w:vMerge w:val="restart"/>
          </w:tcPr>
          <w:p>
            <w:pPr>
              <w:pStyle w:val="TableParagraph"/>
              <w:ind w:left="0"/>
              <w:rPr>
                <w:rFonts w:ascii="Times New Roman"/>
                <w:sz w:val="22"/>
              </w:rPr>
            </w:pPr>
          </w:p>
          <w:p>
            <w:pPr>
              <w:pStyle w:val="TableParagraph"/>
              <w:spacing w:before="6"/>
              <w:ind w:left="0"/>
              <w:rPr>
                <w:rFonts w:ascii="Times New Roman"/>
                <w:sz w:val="22"/>
              </w:rPr>
            </w:pPr>
          </w:p>
          <w:p>
            <w:pPr>
              <w:pStyle w:val="TableParagraph"/>
              <w:rPr>
                <w:rFonts w:ascii="Times New Roman"/>
                <w:sz w:val="21"/>
              </w:rPr>
            </w:pPr>
            <w:r>
              <w:rPr>
                <w:rFonts w:ascii="Times New Roman"/>
                <w:sz w:val="21"/>
              </w:rPr>
              <w:t>10.2</w:t>
            </w:r>
          </w:p>
        </w:tc>
        <w:tc>
          <w:tcPr>
            <w:tcW w:w="1135" w:type="dxa"/>
          </w:tcPr>
          <w:p>
            <w:pPr>
              <w:pStyle w:val="TableParagraph"/>
              <w:spacing w:before="190"/>
              <w:rPr>
                <w:rFonts w:ascii="Times New Roman"/>
                <w:sz w:val="21"/>
              </w:rPr>
            </w:pPr>
            <w:r>
              <w:rPr>
                <w:rFonts w:ascii="Times New Roman"/>
                <w:sz w:val="21"/>
              </w:rPr>
              <w:t>4.5.3</w:t>
            </w:r>
          </w:p>
        </w:tc>
        <w:tc>
          <w:tcPr>
            <w:tcW w:w="3651" w:type="dxa"/>
          </w:tcPr>
          <w:p>
            <w:pPr>
              <w:pStyle w:val="TableParagraph"/>
              <w:spacing w:before="20"/>
              <w:rPr>
                <w:sz w:val="21"/>
              </w:rPr>
            </w:pPr>
            <w:r>
              <w:rPr>
                <w:sz w:val="21"/>
              </w:rPr>
              <w:t>事件调查、不符合、纠正措施和预防</w:t>
            </w:r>
          </w:p>
          <w:p>
            <w:pPr>
              <w:pStyle w:val="TableParagraph"/>
              <w:spacing w:before="43"/>
              <w:rPr>
                <w:sz w:val="21"/>
              </w:rPr>
            </w:pPr>
            <w:r>
              <w:rPr>
                <w:sz w:val="21"/>
              </w:rPr>
              <w:t>措施（仅标题）</w:t>
            </w:r>
          </w:p>
        </w:tc>
      </w:tr>
      <w:tr>
        <w:trPr>
          <w:trHeight w:val="312" w:hRule="atLeast"/>
        </w:trPr>
        <w:tc>
          <w:tcPr>
            <w:tcW w:w="3684" w:type="dxa"/>
            <w:vMerge/>
            <w:tcBorders>
              <w:top w:val="nil"/>
            </w:tcBorders>
          </w:tcPr>
          <w:p>
            <w:pPr>
              <w:rPr>
                <w:sz w:val="2"/>
                <w:szCs w:val="2"/>
              </w:rPr>
            </w:pPr>
          </w:p>
        </w:tc>
        <w:tc>
          <w:tcPr>
            <w:tcW w:w="1135" w:type="dxa"/>
            <w:vMerge/>
            <w:tcBorders>
              <w:top w:val="nil"/>
            </w:tcBorders>
          </w:tcPr>
          <w:p>
            <w:pPr>
              <w:rPr>
                <w:sz w:val="2"/>
                <w:szCs w:val="2"/>
              </w:rPr>
            </w:pPr>
          </w:p>
        </w:tc>
        <w:tc>
          <w:tcPr>
            <w:tcW w:w="1135" w:type="dxa"/>
          </w:tcPr>
          <w:p>
            <w:pPr>
              <w:pStyle w:val="TableParagraph"/>
              <w:spacing w:before="34"/>
              <w:rPr>
                <w:rFonts w:ascii="Times New Roman"/>
                <w:sz w:val="21"/>
              </w:rPr>
            </w:pPr>
            <w:r>
              <w:rPr>
                <w:rFonts w:ascii="Times New Roman"/>
                <w:sz w:val="21"/>
              </w:rPr>
              <w:t>4.5.3.1</w:t>
            </w:r>
          </w:p>
        </w:tc>
        <w:tc>
          <w:tcPr>
            <w:tcW w:w="3651" w:type="dxa"/>
          </w:tcPr>
          <w:p>
            <w:pPr>
              <w:pStyle w:val="TableParagraph"/>
              <w:spacing w:before="20"/>
              <w:rPr>
                <w:sz w:val="21"/>
              </w:rPr>
            </w:pPr>
            <w:r>
              <w:rPr>
                <w:sz w:val="21"/>
              </w:rPr>
              <w:t>事件调查</w:t>
            </w:r>
          </w:p>
        </w:tc>
      </w:tr>
      <w:tr>
        <w:trPr>
          <w:trHeight w:val="312" w:hRule="atLeast"/>
        </w:trPr>
        <w:tc>
          <w:tcPr>
            <w:tcW w:w="3684" w:type="dxa"/>
            <w:vMerge/>
            <w:tcBorders>
              <w:top w:val="nil"/>
            </w:tcBorders>
          </w:tcPr>
          <w:p>
            <w:pPr>
              <w:rPr>
                <w:sz w:val="2"/>
                <w:szCs w:val="2"/>
              </w:rPr>
            </w:pPr>
          </w:p>
        </w:tc>
        <w:tc>
          <w:tcPr>
            <w:tcW w:w="1135" w:type="dxa"/>
            <w:vMerge/>
            <w:tcBorders>
              <w:top w:val="nil"/>
            </w:tcBorders>
          </w:tcPr>
          <w:p>
            <w:pPr>
              <w:rPr>
                <w:sz w:val="2"/>
                <w:szCs w:val="2"/>
              </w:rPr>
            </w:pPr>
          </w:p>
        </w:tc>
        <w:tc>
          <w:tcPr>
            <w:tcW w:w="1135" w:type="dxa"/>
          </w:tcPr>
          <w:p>
            <w:pPr>
              <w:pStyle w:val="TableParagraph"/>
              <w:spacing w:before="36"/>
              <w:rPr>
                <w:rFonts w:ascii="Times New Roman"/>
                <w:sz w:val="21"/>
              </w:rPr>
            </w:pPr>
            <w:r>
              <w:rPr>
                <w:rFonts w:ascii="Times New Roman"/>
                <w:sz w:val="21"/>
              </w:rPr>
              <w:t>4.5.3.2</w:t>
            </w:r>
          </w:p>
        </w:tc>
        <w:tc>
          <w:tcPr>
            <w:tcW w:w="3651" w:type="dxa"/>
          </w:tcPr>
          <w:p>
            <w:pPr>
              <w:pStyle w:val="TableParagraph"/>
              <w:spacing w:before="22"/>
              <w:rPr>
                <w:sz w:val="21"/>
              </w:rPr>
            </w:pPr>
            <w:r>
              <w:rPr>
                <w:sz w:val="21"/>
              </w:rPr>
              <w:t>不符合、纠正措施和预防措施</w:t>
            </w:r>
          </w:p>
        </w:tc>
      </w:tr>
      <w:tr>
        <w:trPr>
          <w:trHeight w:val="311" w:hRule="atLeast"/>
        </w:trPr>
        <w:tc>
          <w:tcPr>
            <w:tcW w:w="3684" w:type="dxa"/>
            <w:vMerge w:val="restart"/>
          </w:tcPr>
          <w:p>
            <w:pPr>
              <w:pStyle w:val="TableParagraph"/>
              <w:spacing w:before="9"/>
              <w:ind w:left="0"/>
              <w:rPr>
                <w:rFonts w:ascii="Times New Roman"/>
                <w:sz w:val="29"/>
              </w:rPr>
            </w:pPr>
          </w:p>
          <w:p>
            <w:pPr>
              <w:pStyle w:val="TableParagraph"/>
              <w:spacing w:before="1"/>
              <w:rPr>
                <w:sz w:val="21"/>
              </w:rPr>
            </w:pPr>
            <w:r>
              <w:rPr>
                <w:sz w:val="21"/>
              </w:rPr>
              <w:t>持续改进</w:t>
            </w:r>
          </w:p>
        </w:tc>
        <w:tc>
          <w:tcPr>
            <w:tcW w:w="1135" w:type="dxa"/>
            <w:vMerge w:val="restart"/>
          </w:tcPr>
          <w:p>
            <w:pPr>
              <w:pStyle w:val="TableParagraph"/>
              <w:ind w:left="0"/>
              <w:rPr>
                <w:rFonts w:ascii="Times New Roman"/>
                <w:sz w:val="31"/>
              </w:rPr>
            </w:pPr>
          </w:p>
          <w:p>
            <w:pPr>
              <w:pStyle w:val="TableParagraph"/>
              <w:spacing w:before="1"/>
              <w:rPr>
                <w:rFonts w:ascii="Times New Roman"/>
                <w:sz w:val="21"/>
              </w:rPr>
            </w:pPr>
            <w:r>
              <w:rPr>
                <w:rFonts w:ascii="Times New Roman"/>
                <w:sz w:val="21"/>
              </w:rPr>
              <w:t>10.3</w:t>
            </w:r>
          </w:p>
        </w:tc>
        <w:tc>
          <w:tcPr>
            <w:tcW w:w="1135" w:type="dxa"/>
          </w:tcPr>
          <w:p>
            <w:pPr>
              <w:pStyle w:val="TableParagraph"/>
              <w:spacing w:before="35"/>
              <w:rPr>
                <w:rFonts w:ascii="Times New Roman"/>
                <w:sz w:val="21"/>
              </w:rPr>
            </w:pPr>
            <w:r>
              <w:rPr>
                <w:rFonts w:ascii="Times New Roman"/>
                <w:sz w:val="21"/>
              </w:rPr>
              <w:t>4.2</w:t>
            </w:r>
          </w:p>
        </w:tc>
        <w:tc>
          <w:tcPr>
            <w:tcW w:w="3651" w:type="dxa"/>
          </w:tcPr>
          <w:p>
            <w:pPr>
              <w:pStyle w:val="TableParagraph"/>
              <w:spacing w:before="21"/>
              <w:rPr>
                <w:sz w:val="21"/>
              </w:rPr>
            </w:pPr>
            <w:r>
              <w:rPr>
                <w:sz w:val="21"/>
              </w:rPr>
              <w:t>职业健康安全方针</w:t>
            </w:r>
          </w:p>
        </w:tc>
      </w:tr>
      <w:tr>
        <w:trPr>
          <w:trHeight w:val="312" w:hRule="atLeast"/>
        </w:trPr>
        <w:tc>
          <w:tcPr>
            <w:tcW w:w="3684" w:type="dxa"/>
            <w:vMerge/>
            <w:tcBorders>
              <w:top w:val="nil"/>
            </w:tcBorders>
          </w:tcPr>
          <w:p>
            <w:pPr>
              <w:rPr>
                <w:sz w:val="2"/>
                <w:szCs w:val="2"/>
              </w:rPr>
            </w:pPr>
          </w:p>
        </w:tc>
        <w:tc>
          <w:tcPr>
            <w:tcW w:w="1135" w:type="dxa"/>
            <w:vMerge/>
            <w:tcBorders>
              <w:top w:val="nil"/>
            </w:tcBorders>
          </w:tcPr>
          <w:p>
            <w:pPr>
              <w:rPr>
                <w:sz w:val="2"/>
                <w:szCs w:val="2"/>
              </w:rPr>
            </w:pPr>
          </w:p>
        </w:tc>
        <w:tc>
          <w:tcPr>
            <w:tcW w:w="1135" w:type="dxa"/>
          </w:tcPr>
          <w:p>
            <w:pPr>
              <w:pStyle w:val="TableParagraph"/>
              <w:spacing w:before="35"/>
              <w:rPr>
                <w:rFonts w:ascii="Times New Roman"/>
                <w:sz w:val="21"/>
              </w:rPr>
            </w:pPr>
            <w:r>
              <w:rPr>
                <w:rFonts w:ascii="Times New Roman"/>
                <w:sz w:val="21"/>
              </w:rPr>
              <w:t>4.3.3</w:t>
            </w:r>
          </w:p>
        </w:tc>
        <w:tc>
          <w:tcPr>
            <w:tcW w:w="3651" w:type="dxa"/>
          </w:tcPr>
          <w:p>
            <w:pPr>
              <w:pStyle w:val="TableParagraph"/>
              <w:spacing w:before="21"/>
              <w:rPr>
                <w:sz w:val="21"/>
              </w:rPr>
            </w:pPr>
            <w:r>
              <w:rPr>
                <w:sz w:val="21"/>
              </w:rPr>
              <w:t>目标和方案</w:t>
            </w:r>
          </w:p>
        </w:tc>
      </w:tr>
      <w:tr>
        <w:trPr>
          <w:trHeight w:val="311" w:hRule="atLeast"/>
        </w:trPr>
        <w:tc>
          <w:tcPr>
            <w:tcW w:w="3684" w:type="dxa"/>
            <w:vMerge/>
            <w:tcBorders>
              <w:top w:val="nil"/>
            </w:tcBorders>
          </w:tcPr>
          <w:p>
            <w:pPr>
              <w:rPr>
                <w:sz w:val="2"/>
                <w:szCs w:val="2"/>
              </w:rPr>
            </w:pPr>
          </w:p>
        </w:tc>
        <w:tc>
          <w:tcPr>
            <w:tcW w:w="1135" w:type="dxa"/>
            <w:vMerge/>
            <w:tcBorders>
              <w:top w:val="nil"/>
            </w:tcBorders>
          </w:tcPr>
          <w:p>
            <w:pPr>
              <w:rPr>
                <w:sz w:val="2"/>
                <w:szCs w:val="2"/>
              </w:rPr>
            </w:pPr>
          </w:p>
        </w:tc>
        <w:tc>
          <w:tcPr>
            <w:tcW w:w="1135" w:type="dxa"/>
          </w:tcPr>
          <w:p>
            <w:pPr>
              <w:pStyle w:val="TableParagraph"/>
              <w:spacing w:before="35"/>
              <w:rPr>
                <w:rFonts w:ascii="Times New Roman"/>
                <w:sz w:val="21"/>
              </w:rPr>
            </w:pPr>
            <w:r>
              <w:rPr>
                <w:rFonts w:ascii="Times New Roman"/>
                <w:sz w:val="21"/>
              </w:rPr>
              <w:t>4.6</w:t>
            </w:r>
          </w:p>
        </w:tc>
        <w:tc>
          <w:tcPr>
            <w:tcW w:w="3651" w:type="dxa"/>
          </w:tcPr>
          <w:p>
            <w:pPr>
              <w:pStyle w:val="TableParagraph"/>
              <w:spacing w:before="21"/>
              <w:rPr>
                <w:sz w:val="21"/>
              </w:rPr>
            </w:pPr>
            <w:r>
              <w:rPr>
                <w:sz w:val="21"/>
              </w:rPr>
              <w:t>运行控制</w:t>
            </w:r>
          </w:p>
        </w:tc>
      </w:tr>
      <w:tr>
        <w:trPr>
          <w:trHeight w:val="312" w:hRule="atLeast"/>
        </w:trPr>
        <w:tc>
          <w:tcPr>
            <w:tcW w:w="3684" w:type="dxa"/>
          </w:tcPr>
          <w:p>
            <w:pPr>
              <w:pStyle w:val="TableParagraph"/>
              <w:spacing w:before="20"/>
              <w:rPr>
                <w:sz w:val="21"/>
              </w:rPr>
            </w:pPr>
            <w:r>
              <w:rPr>
                <w:sz w:val="21"/>
              </w:rPr>
              <w:t>（资料性附录） 本标准的使用指南</w:t>
            </w:r>
          </w:p>
        </w:tc>
        <w:tc>
          <w:tcPr>
            <w:tcW w:w="1135" w:type="dxa"/>
          </w:tcPr>
          <w:p>
            <w:pPr>
              <w:pStyle w:val="TableParagraph"/>
              <w:spacing w:before="20"/>
              <w:rPr>
                <w:rFonts w:ascii="Times New Roman" w:eastAsia="Times New Roman"/>
                <w:sz w:val="21"/>
              </w:rPr>
            </w:pPr>
            <w:r>
              <w:rPr>
                <w:sz w:val="21"/>
              </w:rPr>
              <w:t>附录 </w:t>
            </w:r>
            <w:r>
              <w:rPr>
                <w:rFonts w:ascii="Times New Roman" w:eastAsia="Times New Roman"/>
                <w:sz w:val="21"/>
              </w:rPr>
              <w:t>A</w:t>
            </w:r>
          </w:p>
        </w:tc>
        <w:tc>
          <w:tcPr>
            <w:tcW w:w="1135" w:type="dxa"/>
          </w:tcPr>
          <w:p>
            <w:pPr>
              <w:pStyle w:val="TableParagraph"/>
              <w:spacing w:before="20"/>
              <w:ind w:left="355"/>
              <w:rPr>
                <w:sz w:val="21"/>
              </w:rPr>
            </w:pPr>
            <w:r>
              <w:rPr>
                <w:sz w:val="21"/>
              </w:rPr>
              <w:t>——</w:t>
            </w:r>
          </w:p>
        </w:tc>
        <w:tc>
          <w:tcPr>
            <w:tcW w:w="3651" w:type="dxa"/>
          </w:tcPr>
          <w:p>
            <w:pPr>
              <w:pStyle w:val="TableParagraph"/>
              <w:spacing w:before="20"/>
              <w:ind w:left="1383" w:right="1375"/>
              <w:jc w:val="center"/>
              <w:rPr>
                <w:sz w:val="21"/>
              </w:rPr>
            </w:pPr>
            <w:r>
              <w:rPr>
                <w:sz w:val="21"/>
              </w:rPr>
              <w:t>——</w:t>
            </w:r>
          </w:p>
        </w:tc>
      </w:tr>
      <w:tr>
        <w:trPr>
          <w:trHeight w:val="936" w:hRule="atLeast"/>
        </w:trPr>
        <w:tc>
          <w:tcPr>
            <w:tcW w:w="3684" w:type="dxa"/>
          </w:tcPr>
          <w:p>
            <w:pPr>
              <w:pStyle w:val="TableParagraph"/>
              <w:spacing w:before="10"/>
              <w:ind w:left="0"/>
              <w:rPr>
                <w:rFonts w:ascii="Times New Roman"/>
                <w:sz w:val="28"/>
              </w:rPr>
            </w:pPr>
          </w:p>
          <w:p>
            <w:pPr>
              <w:pStyle w:val="TableParagraph"/>
              <w:ind w:left="1399" w:right="1391"/>
              <w:jc w:val="center"/>
              <w:rPr>
                <w:sz w:val="21"/>
              </w:rPr>
            </w:pPr>
            <w:r>
              <w:rPr>
                <w:sz w:val="21"/>
              </w:rPr>
              <w:t>——</w:t>
            </w:r>
          </w:p>
        </w:tc>
        <w:tc>
          <w:tcPr>
            <w:tcW w:w="1135" w:type="dxa"/>
          </w:tcPr>
          <w:p>
            <w:pPr>
              <w:pStyle w:val="TableParagraph"/>
              <w:spacing w:before="10"/>
              <w:ind w:left="0"/>
              <w:rPr>
                <w:rFonts w:ascii="Times New Roman"/>
                <w:sz w:val="28"/>
              </w:rPr>
            </w:pPr>
          </w:p>
          <w:p>
            <w:pPr>
              <w:pStyle w:val="TableParagraph"/>
              <w:ind w:left="357"/>
              <w:rPr>
                <w:sz w:val="21"/>
              </w:rPr>
            </w:pPr>
            <w:r>
              <w:rPr>
                <w:sz w:val="21"/>
              </w:rPr>
              <w:t>——</w:t>
            </w:r>
          </w:p>
        </w:tc>
        <w:tc>
          <w:tcPr>
            <w:tcW w:w="1135" w:type="dxa"/>
          </w:tcPr>
          <w:p>
            <w:pPr>
              <w:pStyle w:val="TableParagraph"/>
              <w:spacing w:before="10"/>
              <w:ind w:left="0"/>
              <w:rPr>
                <w:rFonts w:ascii="Times New Roman"/>
                <w:sz w:val="28"/>
              </w:rPr>
            </w:pPr>
          </w:p>
          <w:p>
            <w:pPr>
              <w:pStyle w:val="TableParagraph"/>
              <w:rPr>
                <w:rFonts w:ascii="Times New Roman" w:eastAsia="Times New Roman"/>
                <w:sz w:val="21"/>
              </w:rPr>
            </w:pPr>
            <w:r>
              <w:rPr>
                <w:sz w:val="21"/>
              </w:rPr>
              <w:t>附录 </w:t>
            </w:r>
            <w:r>
              <w:rPr>
                <w:rFonts w:ascii="Times New Roman" w:eastAsia="Times New Roman"/>
                <w:sz w:val="21"/>
              </w:rPr>
              <w:t>A</w:t>
            </w:r>
          </w:p>
        </w:tc>
        <w:tc>
          <w:tcPr>
            <w:tcW w:w="3651" w:type="dxa"/>
          </w:tcPr>
          <w:p>
            <w:pPr>
              <w:pStyle w:val="TableParagraph"/>
              <w:spacing w:line="278" w:lineRule="auto" w:before="20"/>
              <w:ind w:right="1"/>
              <w:rPr>
                <w:sz w:val="21"/>
              </w:rPr>
            </w:pPr>
            <w:r>
              <w:rPr>
                <w:sz w:val="21"/>
              </w:rPr>
              <w:t>（资料性附录） </w:t>
            </w:r>
            <w:r>
              <w:rPr>
                <w:rFonts w:ascii="Times New Roman" w:hAnsi="Times New Roman" w:eastAsia="Times New Roman"/>
                <w:sz w:val="21"/>
              </w:rPr>
              <w:t>GB/T 28001</w:t>
            </w:r>
            <w:r>
              <w:rPr>
                <w:sz w:val="21"/>
              </w:rPr>
              <w:t>—</w:t>
            </w:r>
            <w:r>
              <w:rPr>
                <w:rFonts w:ascii="Times New Roman" w:hAnsi="Times New Roman" w:eastAsia="Times New Roman"/>
                <w:sz w:val="21"/>
              </w:rPr>
              <w:t>2011</w:t>
            </w:r>
            <w:r>
              <w:rPr>
                <w:sz w:val="21"/>
              </w:rPr>
              <w:t>、</w:t>
            </w:r>
            <w:r>
              <w:rPr>
                <w:rFonts w:ascii="Times New Roman" w:hAnsi="Times New Roman" w:eastAsia="Times New Roman"/>
                <w:sz w:val="21"/>
              </w:rPr>
              <w:t>GB/T 24001 </w:t>
            </w:r>
            <w:r>
              <w:rPr>
                <w:sz w:val="21"/>
              </w:rPr>
              <w:t>— </w:t>
            </w:r>
            <w:r>
              <w:rPr>
                <w:rFonts w:ascii="Times New Roman" w:hAnsi="Times New Roman" w:eastAsia="Times New Roman"/>
                <w:sz w:val="21"/>
              </w:rPr>
              <w:t>2004 </w:t>
            </w:r>
            <w:r>
              <w:rPr>
                <w:sz w:val="21"/>
              </w:rPr>
              <w:t>和 </w:t>
            </w:r>
            <w:r>
              <w:rPr>
                <w:rFonts w:ascii="Times New Roman" w:hAnsi="Times New Roman" w:eastAsia="Times New Roman"/>
                <w:sz w:val="21"/>
              </w:rPr>
              <w:t>GB/T 19001 </w:t>
            </w:r>
            <w:r>
              <w:rPr>
                <w:sz w:val="21"/>
              </w:rPr>
              <w:t>—</w:t>
            </w:r>
          </w:p>
          <w:p>
            <w:pPr>
              <w:pStyle w:val="TableParagraph"/>
              <w:spacing w:line="269" w:lineRule="exact"/>
              <w:rPr>
                <w:sz w:val="21"/>
              </w:rPr>
            </w:pPr>
            <w:r>
              <w:rPr>
                <w:rFonts w:ascii="Times New Roman" w:eastAsia="Times New Roman"/>
                <w:sz w:val="21"/>
              </w:rPr>
              <w:t>2008 </w:t>
            </w:r>
            <w:r>
              <w:rPr>
                <w:sz w:val="21"/>
              </w:rPr>
              <w:t>之间的对应关系</w:t>
            </w:r>
          </w:p>
        </w:tc>
      </w:tr>
      <w:tr>
        <w:trPr>
          <w:trHeight w:val="624" w:hRule="atLeast"/>
        </w:trPr>
        <w:tc>
          <w:tcPr>
            <w:tcW w:w="3684" w:type="dxa"/>
          </w:tcPr>
          <w:p>
            <w:pPr>
              <w:pStyle w:val="TableParagraph"/>
              <w:spacing w:before="22"/>
              <w:rPr>
                <w:rFonts w:ascii="Times New Roman" w:eastAsia="Times New Roman"/>
                <w:sz w:val="21"/>
              </w:rPr>
            </w:pPr>
            <w:r>
              <w:rPr>
                <w:sz w:val="21"/>
              </w:rPr>
              <w:t>（ 资料性附录） 本标准与 </w:t>
            </w:r>
            <w:r>
              <w:rPr>
                <w:rFonts w:ascii="Times New Roman" w:eastAsia="Times New Roman"/>
                <w:sz w:val="21"/>
              </w:rPr>
              <w:t>GB/T</w:t>
            </w:r>
          </w:p>
          <w:p>
            <w:pPr>
              <w:pStyle w:val="TableParagraph"/>
              <w:spacing w:before="43"/>
              <w:rPr>
                <w:sz w:val="21"/>
              </w:rPr>
            </w:pPr>
            <w:r>
              <w:rPr>
                <w:rFonts w:ascii="Times New Roman" w:eastAsia="Times New Roman"/>
                <w:sz w:val="21"/>
              </w:rPr>
              <w:t>28001-2011 </w:t>
            </w:r>
            <w:r>
              <w:rPr>
                <w:sz w:val="21"/>
              </w:rPr>
              <w:t>之间的对应情况</w:t>
            </w:r>
          </w:p>
        </w:tc>
        <w:tc>
          <w:tcPr>
            <w:tcW w:w="1135" w:type="dxa"/>
          </w:tcPr>
          <w:p>
            <w:pPr>
              <w:pStyle w:val="TableParagraph"/>
              <w:spacing w:before="178"/>
              <w:rPr>
                <w:rFonts w:ascii="Times New Roman" w:eastAsia="Times New Roman"/>
                <w:sz w:val="21"/>
              </w:rPr>
            </w:pPr>
            <w:r>
              <w:rPr>
                <w:sz w:val="21"/>
              </w:rPr>
              <w:t>附录 </w:t>
            </w:r>
            <w:r>
              <w:rPr>
                <w:rFonts w:ascii="Times New Roman" w:eastAsia="Times New Roman"/>
                <w:sz w:val="21"/>
              </w:rPr>
              <w:t>NA</w:t>
            </w:r>
          </w:p>
        </w:tc>
        <w:tc>
          <w:tcPr>
            <w:tcW w:w="1135" w:type="dxa"/>
          </w:tcPr>
          <w:p>
            <w:pPr>
              <w:pStyle w:val="TableParagraph"/>
              <w:spacing w:before="178"/>
              <w:ind w:left="355"/>
              <w:rPr>
                <w:sz w:val="21"/>
              </w:rPr>
            </w:pPr>
            <w:r>
              <w:rPr>
                <w:sz w:val="21"/>
              </w:rPr>
              <w:t>——</w:t>
            </w:r>
          </w:p>
        </w:tc>
        <w:tc>
          <w:tcPr>
            <w:tcW w:w="3651" w:type="dxa"/>
          </w:tcPr>
          <w:p>
            <w:pPr>
              <w:pStyle w:val="TableParagraph"/>
              <w:spacing w:before="178"/>
              <w:ind w:left="1383" w:right="1375"/>
              <w:jc w:val="center"/>
              <w:rPr>
                <w:sz w:val="21"/>
              </w:rPr>
            </w:pPr>
            <w:r>
              <w:rPr>
                <w:sz w:val="21"/>
              </w:rPr>
              <w:t>——</w:t>
            </w:r>
          </w:p>
        </w:tc>
      </w:tr>
      <w:tr>
        <w:trPr>
          <w:trHeight w:val="623" w:hRule="atLeast"/>
        </w:trPr>
        <w:tc>
          <w:tcPr>
            <w:tcW w:w="3684" w:type="dxa"/>
          </w:tcPr>
          <w:p>
            <w:pPr>
              <w:pStyle w:val="TableParagraph"/>
              <w:spacing w:before="178"/>
              <w:ind w:left="1399" w:right="1391"/>
              <w:jc w:val="center"/>
              <w:rPr>
                <w:sz w:val="21"/>
              </w:rPr>
            </w:pPr>
            <w:r>
              <w:rPr>
                <w:sz w:val="21"/>
              </w:rPr>
              <w:t>——</w:t>
            </w:r>
          </w:p>
        </w:tc>
        <w:tc>
          <w:tcPr>
            <w:tcW w:w="1135" w:type="dxa"/>
          </w:tcPr>
          <w:p>
            <w:pPr>
              <w:pStyle w:val="TableParagraph"/>
              <w:spacing w:before="178"/>
              <w:ind w:left="357"/>
              <w:rPr>
                <w:sz w:val="21"/>
              </w:rPr>
            </w:pPr>
            <w:r>
              <w:rPr>
                <w:sz w:val="21"/>
              </w:rPr>
              <w:t>——</w:t>
            </w:r>
          </w:p>
        </w:tc>
        <w:tc>
          <w:tcPr>
            <w:tcW w:w="1135" w:type="dxa"/>
          </w:tcPr>
          <w:p>
            <w:pPr>
              <w:pStyle w:val="TableParagraph"/>
              <w:spacing w:before="178"/>
              <w:rPr>
                <w:rFonts w:ascii="Times New Roman" w:eastAsia="Times New Roman"/>
                <w:sz w:val="21"/>
              </w:rPr>
            </w:pPr>
            <w:r>
              <w:rPr>
                <w:sz w:val="21"/>
              </w:rPr>
              <w:t>附录 </w:t>
            </w:r>
            <w:r>
              <w:rPr>
                <w:rFonts w:ascii="Times New Roman" w:eastAsia="Times New Roman"/>
                <w:sz w:val="21"/>
              </w:rPr>
              <w:t>B</w:t>
            </w:r>
          </w:p>
        </w:tc>
        <w:tc>
          <w:tcPr>
            <w:tcW w:w="3651" w:type="dxa"/>
          </w:tcPr>
          <w:p>
            <w:pPr>
              <w:pStyle w:val="TableParagraph"/>
              <w:spacing w:before="22"/>
              <w:rPr>
                <w:sz w:val="21"/>
              </w:rPr>
            </w:pPr>
            <w:r>
              <w:rPr>
                <w:sz w:val="21"/>
              </w:rPr>
              <w:t>（资料性附录）</w:t>
            </w:r>
            <w:r>
              <w:rPr>
                <w:spacing w:val="-85"/>
                <w:sz w:val="21"/>
              </w:rPr>
              <w:t> </w:t>
            </w:r>
            <w:r>
              <w:rPr>
                <w:rFonts w:ascii="Times New Roman" w:eastAsia="Times New Roman"/>
                <w:sz w:val="21"/>
              </w:rPr>
              <w:t>GB/T 28000 </w:t>
            </w:r>
            <w:r>
              <w:rPr>
                <w:sz w:val="21"/>
              </w:rPr>
              <w:t>系列标准</w:t>
            </w:r>
          </w:p>
          <w:p>
            <w:pPr>
              <w:pStyle w:val="TableParagraph"/>
              <w:spacing w:before="42"/>
              <w:rPr>
                <w:sz w:val="21"/>
              </w:rPr>
            </w:pPr>
            <w:r>
              <w:rPr>
                <w:sz w:val="21"/>
              </w:rPr>
              <w:t>与 </w:t>
            </w:r>
            <w:r>
              <w:rPr>
                <w:rFonts w:ascii="Times New Roman" w:eastAsia="Times New Roman"/>
                <w:sz w:val="21"/>
              </w:rPr>
              <w:t>ILO-OSH:2001 </w:t>
            </w:r>
            <w:r>
              <w:rPr>
                <w:sz w:val="21"/>
              </w:rPr>
              <w:t>之间的对应关系</w:t>
            </w:r>
          </w:p>
        </w:tc>
      </w:tr>
      <w:tr>
        <w:trPr>
          <w:trHeight w:val="312" w:hRule="atLeast"/>
        </w:trPr>
        <w:tc>
          <w:tcPr>
            <w:tcW w:w="3684" w:type="dxa"/>
          </w:tcPr>
          <w:p>
            <w:pPr>
              <w:pStyle w:val="TableParagraph"/>
              <w:spacing w:before="21"/>
              <w:ind w:left="1399" w:right="1391"/>
              <w:jc w:val="center"/>
              <w:rPr>
                <w:sz w:val="21"/>
              </w:rPr>
            </w:pPr>
            <w:r>
              <w:rPr>
                <w:sz w:val="21"/>
              </w:rPr>
              <w:t>——</w:t>
            </w:r>
          </w:p>
        </w:tc>
        <w:tc>
          <w:tcPr>
            <w:tcW w:w="1135" w:type="dxa"/>
          </w:tcPr>
          <w:p>
            <w:pPr>
              <w:pStyle w:val="TableParagraph"/>
              <w:spacing w:before="21"/>
              <w:rPr>
                <w:sz w:val="21"/>
              </w:rPr>
            </w:pPr>
            <w:r>
              <w:rPr>
                <w:sz w:val="21"/>
              </w:rPr>
              <w:t>参考文献</w:t>
            </w:r>
          </w:p>
        </w:tc>
        <w:tc>
          <w:tcPr>
            <w:tcW w:w="1135" w:type="dxa"/>
          </w:tcPr>
          <w:p>
            <w:pPr>
              <w:pStyle w:val="TableParagraph"/>
              <w:spacing w:before="21"/>
              <w:rPr>
                <w:sz w:val="21"/>
              </w:rPr>
            </w:pPr>
            <w:r>
              <w:rPr>
                <w:sz w:val="21"/>
              </w:rPr>
              <w:t>参考文献</w:t>
            </w:r>
          </w:p>
        </w:tc>
        <w:tc>
          <w:tcPr>
            <w:tcW w:w="3651" w:type="dxa"/>
          </w:tcPr>
          <w:p>
            <w:pPr>
              <w:pStyle w:val="TableParagraph"/>
              <w:spacing w:before="21"/>
              <w:ind w:left="1383" w:right="1375"/>
              <w:jc w:val="center"/>
              <w:rPr>
                <w:sz w:val="21"/>
              </w:rPr>
            </w:pPr>
            <w:r>
              <w:rPr>
                <w:sz w:val="21"/>
              </w:rPr>
              <w:t>——</w:t>
            </w:r>
          </w:p>
        </w:tc>
      </w:tr>
      <w:tr>
        <w:trPr>
          <w:trHeight w:val="1247" w:hRule="atLeast"/>
        </w:trPr>
        <w:tc>
          <w:tcPr>
            <w:tcW w:w="3684" w:type="dxa"/>
          </w:tcPr>
          <w:p>
            <w:pPr>
              <w:pStyle w:val="TableParagraph"/>
              <w:ind w:left="0"/>
              <w:rPr>
                <w:rFonts w:ascii="Times New Roman"/>
                <w:sz w:val="20"/>
              </w:rPr>
            </w:pPr>
          </w:p>
          <w:p>
            <w:pPr>
              <w:pStyle w:val="TableParagraph"/>
              <w:spacing w:before="6"/>
              <w:ind w:left="0"/>
              <w:rPr>
                <w:rFonts w:ascii="Times New Roman"/>
                <w:sz w:val="22"/>
              </w:rPr>
            </w:pPr>
          </w:p>
          <w:p>
            <w:pPr>
              <w:pStyle w:val="TableParagraph"/>
              <w:ind w:left="1399" w:right="1391"/>
              <w:jc w:val="center"/>
              <w:rPr>
                <w:sz w:val="21"/>
              </w:rPr>
            </w:pPr>
            <w:r>
              <w:rPr>
                <w:sz w:val="21"/>
              </w:rPr>
              <w:t>——</w:t>
            </w:r>
          </w:p>
        </w:tc>
        <w:tc>
          <w:tcPr>
            <w:tcW w:w="1135" w:type="dxa"/>
          </w:tcPr>
          <w:p>
            <w:pPr>
              <w:pStyle w:val="TableParagraph"/>
              <w:spacing w:line="278" w:lineRule="auto" w:before="21"/>
              <w:ind w:right="97"/>
              <w:jc w:val="both"/>
              <w:rPr>
                <w:sz w:val="21"/>
              </w:rPr>
            </w:pPr>
            <w:r>
              <w:rPr>
                <w:sz w:val="21"/>
              </w:rPr>
              <w:t>按英文字母顺序排列的术语</w:t>
            </w:r>
          </w:p>
          <w:p>
            <w:pPr>
              <w:pStyle w:val="TableParagraph"/>
              <w:spacing w:line="269" w:lineRule="exact"/>
              <w:rPr>
                <w:sz w:val="21"/>
              </w:rPr>
            </w:pPr>
            <w:r>
              <w:rPr>
                <w:sz w:val="21"/>
              </w:rPr>
              <w:t>索引</w:t>
            </w:r>
          </w:p>
        </w:tc>
        <w:tc>
          <w:tcPr>
            <w:tcW w:w="1135" w:type="dxa"/>
          </w:tcPr>
          <w:p>
            <w:pPr>
              <w:pStyle w:val="TableParagraph"/>
              <w:ind w:left="0"/>
              <w:rPr>
                <w:rFonts w:ascii="Times New Roman"/>
                <w:sz w:val="20"/>
              </w:rPr>
            </w:pPr>
          </w:p>
          <w:p>
            <w:pPr>
              <w:pStyle w:val="TableParagraph"/>
              <w:spacing w:before="6"/>
              <w:ind w:left="0"/>
              <w:rPr>
                <w:rFonts w:ascii="Times New Roman"/>
                <w:sz w:val="22"/>
              </w:rPr>
            </w:pPr>
          </w:p>
          <w:p>
            <w:pPr>
              <w:pStyle w:val="TableParagraph"/>
              <w:ind w:left="355"/>
              <w:rPr>
                <w:sz w:val="21"/>
              </w:rPr>
            </w:pPr>
            <w:r>
              <w:rPr>
                <w:sz w:val="21"/>
              </w:rPr>
              <w:t>——</w:t>
            </w:r>
          </w:p>
        </w:tc>
        <w:tc>
          <w:tcPr>
            <w:tcW w:w="3651" w:type="dxa"/>
          </w:tcPr>
          <w:p>
            <w:pPr>
              <w:pStyle w:val="TableParagraph"/>
              <w:ind w:left="0"/>
              <w:rPr>
                <w:rFonts w:ascii="Times New Roman"/>
                <w:sz w:val="20"/>
              </w:rPr>
            </w:pPr>
          </w:p>
          <w:p>
            <w:pPr>
              <w:pStyle w:val="TableParagraph"/>
              <w:spacing w:before="6"/>
              <w:ind w:left="0"/>
              <w:rPr>
                <w:rFonts w:ascii="Times New Roman"/>
                <w:sz w:val="22"/>
              </w:rPr>
            </w:pPr>
          </w:p>
          <w:p>
            <w:pPr>
              <w:pStyle w:val="TableParagraph"/>
              <w:ind w:left="1383" w:right="1375"/>
              <w:jc w:val="center"/>
              <w:rPr>
                <w:sz w:val="21"/>
              </w:rPr>
            </w:pPr>
            <w:r>
              <w:rPr>
                <w:sz w:val="21"/>
              </w:rPr>
              <w:t>——</w:t>
            </w:r>
          </w:p>
        </w:tc>
      </w:tr>
      <w:tr>
        <w:trPr>
          <w:trHeight w:val="1247" w:hRule="atLeast"/>
        </w:trPr>
        <w:tc>
          <w:tcPr>
            <w:tcW w:w="3684" w:type="dxa"/>
          </w:tcPr>
          <w:p>
            <w:pPr>
              <w:pStyle w:val="TableParagraph"/>
              <w:ind w:left="0"/>
              <w:rPr>
                <w:rFonts w:ascii="Times New Roman"/>
                <w:sz w:val="20"/>
              </w:rPr>
            </w:pPr>
          </w:p>
          <w:p>
            <w:pPr>
              <w:pStyle w:val="TableParagraph"/>
              <w:spacing w:before="5"/>
              <w:ind w:left="0"/>
              <w:rPr>
                <w:rFonts w:ascii="Times New Roman"/>
                <w:sz w:val="22"/>
              </w:rPr>
            </w:pPr>
          </w:p>
          <w:p>
            <w:pPr>
              <w:pStyle w:val="TableParagraph"/>
              <w:ind w:left="1399" w:right="1391"/>
              <w:jc w:val="center"/>
              <w:rPr>
                <w:sz w:val="21"/>
              </w:rPr>
            </w:pPr>
            <w:r>
              <w:rPr>
                <w:sz w:val="21"/>
              </w:rPr>
              <w:t>——</w:t>
            </w:r>
          </w:p>
        </w:tc>
        <w:tc>
          <w:tcPr>
            <w:tcW w:w="1135" w:type="dxa"/>
          </w:tcPr>
          <w:p>
            <w:pPr>
              <w:pStyle w:val="TableParagraph"/>
              <w:spacing w:line="278" w:lineRule="auto" w:before="20"/>
              <w:ind w:right="97"/>
              <w:jc w:val="both"/>
              <w:rPr>
                <w:sz w:val="21"/>
              </w:rPr>
            </w:pPr>
            <w:r>
              <w:rPr>
                <w:spacing w:val="15"/>
                <w:sz w:val="21"/>
              </w:rPr>
              <w:t>按汉语拼音字母顺</w:t>
            </w:r>
            <w:r>
              <w:rPr>
                <w:spacing w:val="15"/>
                <w:w w:val="95"/>
                <w:sz w:val="21"/>
              </w:rPr>
              <w:t>序排列的</w:t>
            </w:r>
          </w:p>
          <w:p>
            <w:pPr>
              <w:pStyle w:val="TableParagraph"/>
              <w:spacing w:line="269" w:lineRule="exact"/>
              <w:rPr>
                <w:sz w:val="21"/>
              </w:rPr>
            </w:pPr>
            <w:r>
              <w:rPr>
                <w:w w:val="95"/>
                <w:sz w:val="21"/>
              </w:rPr>
              <w:t>术语索引</w:t>
            </w:r>
          </w:p>
        </w:tc>
        <w:tc>
          <w:tcPr>
            <w:tcW w:w="1135" w:type="dxa"/>
          </w:tcPr>
          <w:p>
            <w:pPr>
              <w:pStyle w:val="TableParagraph"/>
              <w:ind w:left="0"/>
              <w:rPr>
                <w:rFonts w:ascii="Times New Roman"/>
                <w:sz w:val="20"/>
              </w:rPr>
            </w:pPr>
          </w:p>
          <w:p>
            <w:pPr>
              <w:pStyle w:val="TableParagraph"/>
              <w:spacing w:before="5"/>
              <w:ind w:left="0"/>
              <w:rPr>
                <w:rFonts w:ascii="Times New Roman"/>
                <w:sz w:val="22"/>
              </w:rPr>
            </w:pPr>
          </w:p>
          <w:p>
            <w:pPr>
              <w:pStyle w:val="TableParagraph"/>
              <w:ind w:left="355"/>
              <w:rPr>
                <w:sz w:val="21"/>
              </w:rPr>
            </w:pPr>
            <w:r>
              <w:rPr>
                <w:sz w:val="21"/>
              </w:rPr>
              <w:t>——</w:t>
            </w:r>
          </w:p>
        </w:tc>
        <w:tc>
          <w:tcPr>
            <w:tcW w:w="3651" w:type="dxa"/>
          </w:tcPr>
          <w:p>
            <w:pPr>
              <w:pStyle w:val="TableParagraph"/>
              <w:ind w:left="0"/>
              <w:rPr>
                <w:rFonts w:ascii="Times New Roman"/>
                <w:sz w:val="20"/>
              </w:rPr>
            </w:pPr>
          </w:p>
          <w:p>
            <w:pPr>
              <w:pStyle w:val="TableParagraph"/>
              <w:spacing w:before="5"/>
              <w:ind w:left="0"/>
              <w:rPr>
                <w:rFonts w:ascii="Times New Roman"/>
                <w:sz w:val="22"/>
              </w:rPr>
            </w:pPr>
          </w:p>
          <w:p>
            <w:pPr>
              <w:pStyle w:val="TableParagraph"/>
              <w:ind w:left="1383" w:right="1375"/>
              <w:jc w:val="center"/>
              <w:rPr>
                <w:sz w:val="21"/>
              </w:rPr>
            </w:pPr>
            <w:r>
              <w:rPr>
                <w:sz w:val="21"/>
              </w:rPr>
              <w:t>——</w:t>
            </w:r>
          </w:p>
        </w:tc>
      </w:tr>
    </w:tbl>
    <w:p>
      <w:pPr>
        <w:spacing w:after="0"/>
        <w:jc w:val="center"/>
        <w:rPr>
          <w:sz w:val="21"/>
        </w:rPr>
        <w:sectPr>
          <w:pgSz w:w="11910" w:h="16840"/>
          <w:pgMar w:header="1442" w:footer="850" w:top="1660" w:bottom="1040" w:left="1140" w:right="740"/>
        </w:sectPr>
      </w:pPr>
    </w:p>
    <w:p>
      <w:pPr>
        <w:pStyle w:val="BodyText"/>
        <w:spacing w:before="157" w:after="23"/>
        <w:ind w:left="2215" w:right="2445"/>
        <w:jc w:val="center"/>
        <w:rPr>
          <w:rFonts w:ascii="黑体" w:eastAsia="黑体" w:hint="eastAsia"/>
        </w:rPr>
      </w:pPr>
      <w:r>
        <w:rPr>
          <w:rFonts w:ascii="黑体" w:eastAsia="黑体" w:hint="eastAsia"/>
        </w:rPr>
        <w:t>表 </w:t>
      </w:r>
      <w:bookmarkStart w:name="_bookmark59" w:id="268"/>
      <w:bookmarkEnd w:id="268"/>
      <w:r>
        <w:rPr>
          <w:rFonts w:ascii="黑体" w:eastAsia="黑体" w:hint="eastAsia"/>
        </w:rPr>
        <w:t>N</w:t>
      </w:r>
      <w:r>
        <w:rPr>
          <w:rFonts w:ascii="黑体" w:eastAsia="黑体" w:hint="eastAsia"/>
        </w:rPr>
        <w:t>A.2 GB/T 28001-2011 与本标准之间的对应情况</w:t>
      </w: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5"/>
        <w:gridCol w:w="1101"/>
        <w:gridCol w:w="1134"/>
        <w:gridCol w:w="3686"/>
      </w:tblGrid>
      <w:tr>
        <w:trPr>
          <w:trHeight w:val="312" w:hRule="atLeast"/>
        </w:trPr>
        <w:tc>
          <w:tcPr>
            <w:tcW w:w="4786" w:type="dxa"/>
            <w:gridSpan w:val="2"/>
          </w:tcPr>
          <w:p>
            <w:pPr>
              <w:pStyle w:val="TableParagraph"/>
              <w:spacing w:before="34"/>
              <w:ind w:left="1557"/>
              <w:rPr>
                <w:rFonts w:ascii="Times New Roman" w:hAnsi="Times New Roman"/>
                <w:sz w:val="21"/>
              </w:rPr>
            </w:pPr>
            <w:r>
              <w:rPr>
                <w:rFonts w:ascii="Times New Roman" w:hAnsi="Times New Roman"/>
                <w:sz w:val="21"/>
              </w:rPr>
              <w:t>GB/T 28001—2011</w:t>
            </w:r>
          </w:p>
        </w:tc>
        <w:tc>
          <w:tcPr>
            <w:tcW w:w="4820" w:type="dxa"/>
            <w:gridSpan w:val="2"/>
          </w:tcPr>
          <w:p>
            <w:pPr>
              <w:pStyle w:val="TableParagraph"/>
              <w:spacing w:before="20"/>
              <w:ind w:left="1569"/>
              <w:rPr>
                <w:rFonts w:ascii="Times New Roman" w:hAnsi="Times New Roman"/>
                <w:sz w:val="21"/>
              </w:rPr>
            </w:pPr>
            <w:r>
              <w:rPr>
                <w:rFonts w:ascii="Times New Roman" w:hAnsi="Times New Roman"/>
                <w:sz w:val="21"/>
              </w:rPr>
              <w:t>GB/T 45001</w:t>
            </w:r>
            <w:r>
              <w:rPr>
                <w:sz w:val="21"/>
              </w:rPr>
              <w:t>—</w:t>
            </w:r>
            <w:r>
              <w:rPr>
                <w:rFonts w:ascii="Times New Roman" w:hAnsi="Times New Roman"/>
                <w:sz w:val="21"/>
              </w:rPr>
              <w:t>2020</w:t>
            </w:r>
          </w:p>
        </w:tc>
      </w:tr>
      <w:tr>
        <w:trPr>
          <w:trHeight w:val="311" w:hRule="atLeast"/>
        </w:trPr>
        <w:tc>
          <w:tcPr>
            <w:tcW w:w="3685" w:type="dxa"/>
          </w:tcPr>
          <w:p>
            <w:pPr>
              <w:pStyle w:val="TableParagraph"/>
              <w:spacing w:before="20"/>
              <w:ind w:left="1399" w:right="1395"/>
              <w:jc w:val="center"/>
              <w:rPr>
                <w:sz w:val="21"/>
              </w:rPr>
            </w:pPr>
            <w:r>
              <w:rPr>
                <w:sz w:val="21"/>
              </w:rPr>
              <w:t>章条标题</w:t>
            </w:r>
          </w:p>
        </w:tc>
        <w:tc>
          <w:tcPr>
            <w:tcW w:w="1101" w:type="dxa"/>
          </w:tcPr>
          <w:p>
            <w:pPr>
              <w:pStyle w:val="TableParagraph"/>
              <w:spacing w:before="20"/>
              <w:ind w:left="234"/>
              <w:rPr>
                <w:sz w:val="21"/>
              </w:rPr>
            </w:pPr>
            <w:r>
              <w:rPr>
                <w:sz w:val="21"/>
              </w:rPr>
              <w:t>章条号</w:t>
            </w:r>
          </w:p>
        </w:tc>
        <w:tc>
          <w:tcPr>
            <w:tcW w:w="1134" w:type="dxa"/>
          </w:tcPr>
          <w:p>
            <w:pPr>
              <w:pStyle w:val="TableParagraph"/>
              <w:spacing w:before="20"/>
              <w:ind w:left="251"/>
              <w:rPr>
                <w:sz w:val="21"/>
              </w:rPr>
            </w:pPr>
            <w:r>
              <w:rPr>
                <w:sz w:val="21"/>
              </w:rPr>
              <w:t>章条号</w:t>
            </w:r>
          </w:p>
        </w:tc>
        <w:tc>
          <w:tcPr>
            <w:tcW w:w="3686" w:type="dxa"/>
          </w:tcPr>
          <w:p>
            <w:pPr>
              <w:pStyle w:val="TableParagraph"/>
              <w:spacing w:before="20"/>
              <w:ind w:left="1400" w:right="1395"/>
              <w:jc w:val="center"/>
              <w:rPr>
                <w:sz w:val="21"/>
              </w:rPr>
            </w:pPr>
            <w:r>
              <w:rPr>
                <w:sz w:val="21"/>
              </w:rPr>
              <w:t>章条标题</w:t>
            </w:r>
          </w:p>
        </w:tc>
      </w:tr>
      <w:tr>
        <w:trPr>
          <w:trHeight w:val="312" w:hRule="atLeast"/>
        </w:trPr>
        <w:tc>
          <w:tcPr>
            <w:tcW w:w="3685" w:type="dxa"/>
          </w:tcPr>
          <w:p>
            <w:pPr>
              <w:pStyle w:val="TableParagraph"/>
              <w:spacing w:before="20"/>
              <w:rPr>
                <w:sz w:val="21"/>
              </w:rPr>
            </w:pPr>
            <w:r>
              <w:rPr>
                <w:sz w:val="21"/>
              </w:rPr>
              <w:t>前言</w:t>
            </w:r>
          </w:p>
        </w:tc>
        <w:tc>
          <w:tcPr>
            <w:tcW w:w="1101" w:type="dxa"/>
          </w:tcPr>
          <w:p>
            <w:pPr>
              <w:pStyle w:val="TableParagraph"/>
              <w:ind w:left="0"/>
              <w:rPr>
                <w:rFonts w:ascii="Times New Roman"/>
                <w:sz w:val="20"/>
              </w:rPr>
            </w:pPr>
          </w:p>
        </w:tc>
        <w:tc>
          <w:tcPr>
            <w:tcW w:w="1134" w:type="dxa"/>
          </w:tcPr>
          <w:p>
            <w:pPr>
              <w:pStyle w:val="TableParagraph"/>
              <w:ind w:left="0"/>
              <w:rPr>
                <w:rFonts w:ascii="Times New Roman"/>
                <w:sz w:val="20"/>
              </w:rPr>
            </w:pPr>
          </w:p>
        </w:tc>
        <w:tc>
          <w:tcPr>
            <w:tcW w:w="3686" w:type="dxa"/>
          </w:tcPr>
          <w:p>
            <w:pPr>
              <w:pStyle w:val="TableParagraph"/>
              <w:spacing w:before="20"/>
              <w:ind w:left="106"/>
              <w:rPr>
                <w:sz w:val="21"/>
              </w:rPr>
            </w:pPr>
            <w:r>
              <w:rPr>
                <w:sz w:val="21"/>
              </w:rPr>
              <w:t>前言</w:t>
            </w:r>
          </w:p>
        </w:tc>
      </w:tr>
      <w:tr>
        <w:trPr>
          <w:trHeight w:val="312" w:hRule="atLeast"/>
        </w:trPr>
        <w:tc>
          <w:tcPr>
            <w:tcW w:w="3685" w:type="dxa"/>
          </w:tcPr>
          <w:p>
            <w:pPr>
              <w:pStyle w:val="TableParagraph"/>
              <w:spacing w:before="22"/>
              <w:rPr>
                <w:sz w:val="21"/>
              </w:rPr>
            </w:pPr>
            <w:r>
              <w:rPr>
                <w:sz w:val="21"/>
              </w:rPr>
              <w:t>引言</w:t>
            </w:r>
          </w:p>
        </w:tc>
        <w:tc>
          <w:tcPr>
            <w:tcW w:w="1101" w:type="dxa"/>
          </w:tcPr>
          <w:p>
            <w:pPr>
              <w:pStyle w:val="TableParagraph"/>
              <w:ind w:left="0"/>
              <w:rPr>
                <w:rFonts w:ascii="Times New Roman"/>
                <w:sz w:val="20"/>
              </w:rPr>
            </w:pPr>
          </w:p>
        </w:tc>
        <w:tc>
          <w:tcPr>
            <w:tcW w:w="1134" w:type="dxa"/>
          </w:tcPr>
          <w:p>
            <w:pPr>
              <w:pStyle w:val="TableParagraph"/>
              <w:ind w:left="0"/>
              <w:rPr>
                <w:rFonts w:ascii="Times New Roman"/>
                <w:sz w:val="20"/>
              </w:rPr>
            </w:pPr>
          </w:p>
        </w:tc>
        <w:tc>
          <w:tcPr>
            <w:tcW w:w="3686" w:type="dxa"/>
          </w:tcPr>
          <w:p>
            <w:pPr>
              <w:pStyle w:val="TableParagraph"/>
              <w:spacing w:before="22"/>
              <w:ind w:left="106"/>
              <w:rPr>
                <w:sz w:val="21"/>
              </w:rPr>
            </w:pPr>
            <w:r>
              <w:rPr>
                <w:sz w:val="21"/>
              </w:rPr>
              <w:t>引言</w:t>
            </w:r>
          </w:p>
        </w:tc>
      </w:tr>
      <w:tr>
        <w:trPr>
          <w:trHeight w:val="312" w:hRule="atLeast"/>
        </w:trPr>
        <w:tc>
          <w:tcPr>
            <w:tcW w:w="3685" w:type="dxa"/>
          </w:tcPr>
          <w:p>
            <w:pPr>
              <w:pStyle w:val="TableParagraph"/>
              <w:spacing w:before="21"/>
              <w:rPr>
                <w:sz w:val="21"/>
              </w:rPr>
            </w:pPr>
            <w:r>
              <w:rPr>
                <w:sz w:val="21"/>
              </w:rPr>
              <w:t>范围</w:t>
            </w:r>
          </w:p>
        </w:tc>
        <w:tc>
          <w:tcPr>
            <w:tcW w:w="1101" w:type="dxa"/>
          </w:tcPr>
          <w:p>
            <w:pPr>
              <w:pStyle w:val="TableParagraph"/>
              <w:spacing w:before="35"/>
              <w:ind w:left="107"/>
              <w:rPr>
                <w:rFonts w:ascii="Times New Roman"/>
                <w:sz w:val="21"/>
              </w:rPr>
            </w:pPr>
            <w:r>
              <w:rPr>
                <w:rFonts w:ascii="Times New Roman"/>
                <w:w w:val="99"/>
                <w:sz w:val="21"/>
              </w:rPr>
              <w:t>1</w:t>
            </w:r>
          </w:p>
        </w:tc>
        <w:tc>
          <w:tcPr>
            <w:tcW w:w="1134" w:type="dxa"/>
          </w:tcPr>
          <w:p>
            <w:pPr>
              <w:pStyle w:val="TableParagraph"/>
              <w:spacing w:before="35"/>
              <w:ind w:left="107"/>
              <w:rPr>
                <w:rFonts w:ascii="Times New Roman"/>
                <w:sz w:val="21"/>
              </w:rPr>
            </w:pPr>
            <w:r>
              <w:rPr>
                <w:rFonts w:ascii="Times New Roman"/>
                <w:w w:val="99"/>
                <w:sz w:val="21"/>
              </w:rPr>
              <w:t>1</w:t>
            </w:r>
          </w:p>
        </w:tc>
        <w:tc>
          <w:tcPr>
            <w:tcW w:w="3686" w:type="dxa"/>
          </w:tcPr>
          <w:p>
            <w:pPr>
              <w:pStyle w:val="TableParagraph"/>
              <w:spacing w:before="21"/>
              <w:ind w:left="106"/>
              <w:rPr>
                <w:sz w:val="21"/>
              </w:rPr>
            </w:pPr>
            <w:r>
              <w:rPr>
                <w:sz w:val="21"/>
              </w:rPr>
              <w:t>范围</w:t>
            </w:r>
          </w:p>
        </w:tc>
      </w:tr>
      <w:tr>
        <w:trPr>
          <w:trHeight w:val="312" w:hRule="atLeast"/>
        </w:trPr>
        <w:tc>
          <w:tcPr>
            <w:tcW w:w="3685" w:type="dxa"/>
          </w:tcPr>
          <w:p>
            <w:pPr>
              <w:pStyle w:val="TableParagraph"/>
              <w:spacing w:before="21"/>
              <w:rPr>
                <w:sz w:val="21"/>
              </w:rPr>
            </w:pPr>
            <w:r>
              <w:rPr>
                <w:sz w:val="21"/>
              </w:rPr>
              <w:t>规范性引用文件</w:t>
            </w:r>
          </w:p>
        </w:tc>
        <w:tc>
          <w:tcPr>
            <w:tcW w:w="1101" w:type="dxa"/>
          </w:tcPr>
          <w:p>
            <w:pPr>
              <w:pStyle w:val="TableParagraph"/>
              <w:spacing w:before="35"/>
              <w:ind w:left="107"/>
              <w:rPr>
                <w:rFonts w:ascii="Times New Roman"/>
                <w:sz w:val="21"/>
              </w:rPr>
            </w:pPr>
            <w:r>
              <w:rPr>
                <w:rFonts w:ascii="Times New Roman"/>
                <w:w w:val="99"/>
                <w:sz w:val="21"/>
              </w:rPr>
              <w:t>2</w:t>
            </w:r>
          </w:p>
        </w:tc>
        <w:tc>
          <w:tcPr>
            <w:tcW w:w="1134" w:type="dxa"/>
          </w:tcPr>
          <w:p>
            <w:pPr>
              <w:pStyle w:val="TableParagraph"/>
              <w:spacing w:before="35"/>
              <w:ind w:left="107"/>
              <w:rPr>
                <w:rFonts w:ascii="Times New Roman"/>
                <w:sz w:val="21"/>
              </w:rPr>
            </w:pPr>
            <w:r>
              <w:rPr>
                <w:rFonts w:ascii="Times New Roman"/>
                <w:w w:val="99"/>
                <w:sz w:val="21"/>
              </w:rPr>
              <w:t>2</w:t>
            </w:r>
          </w:p>
        </w:tc>
        <w:tc>
          <w:tcPr>
            <w:tcW w:w="3686" w:type="dxa"/>
          </w:tcPr>
          <w:p>
            <w:pPr>
              <w:pStyle w:val="TableParagraph"/>
              <w:spacing w:before="21"/>
              <w:ind w:left="106"/>
              <w:rPr>
                <w:sz w:val="21"/>
              </w:rPr>
            </w:pPr>
            <w:r>
              <w:rPr>
                <w:sz w:val="21"/>
              </w:rPr>
              <w:t>规范性引用文件</w:t>
            </w:r>
          </w:p>
        </w:tc>
      </w:tr>
      <w:tr>
        <w:trPr>
          <w:trHeight w:val="311" w:hRule="atLeast"/>
        </w:trPr>
        <w:tc>
          <w:tcPr>
            <w:tcW w:w="3685" w:type="dxa"/>
          </w:tcPr>
          <w:p>
            <w:pPr>
              <w:pStyle w:val="TableParagraph"/>
              <w:spacing w:before="21"/>
              <w:rPr>
                <w:sz w:val="21"/>
              </w:rPr>
            </w:pPr>
            <w:r>
              <w:rPr>
                <w:sz w:val="21"/>
              </w:rPr>
              <w:t>术语和定义</w:t>
            </w:r>
          </w:p>
        </w:tc>
        <w:tc>
          <w:tcPr>
            <w:tcW w:w="1101" w:type="dxa"/>
          </w:tcPr>
          <w:p>
            <w:pPr>
              <w:pStyle w:val="TableParagraph"/>
              <w:spacing w:before="34"/>
              <w:ind w:left="107"/>
              <w:rPr>
                <w:rFonts w:ascii="Times New Roman"/>
                <w:sz w:val="21"/>
              </w:rPr>
            </w:pPr>
            <w:r>
              <w:rPr>
                <w:rFonts w:ascii="Times New Roman"/>
                <w:w w:val="99"/>
                <w:sz w:val="21"/>
              </w:rPr>
              <w:t>3</w:t>
            </w:r>
          </w:p>
        </w:tc>
        <w:tc>
          <w:tcPr>
            <w:tcW w:w="1134" w:type="dxa"/>
          </w:tcPr>
          <w:p>
            <w:pPr>
              <w:pStyle w:val="TableParagraph"/>
              <w:spacing w:before="34"/>
              <w:ind w:left="107"/>
              <w:rPr>
                <w:rFonts w:ascii="Times New Roman"/>
                <w:sz w:val="21"/>
              </w:rPr>
            </w:pPr>
            <w:r>
              <w:rPr>
                <w:rFonts w:ascii="Times New Roman"/>
                <w:w w:val="99"/>
                <w:sz w:val="21"/>
              </w:rPr>
              <w:t>3</w:t>
            </w:r>
          </w:p>
        </w:tc>
        <w:tc>
          <w:tcPr>
            <w:tcW w:w="3686" w:type="dxa"/>
          </w:tcPr>
          <w:p>
            <w:pPr>
              <w:pStyle w:val="TableParagraph"/>
              <w:spacing w:before="21"/>
              <w:ind w:left="106"/>
              <w:rPr>
                <w:sz w:val="21"/>
              </w:rPr>
            </w:pPr>
            <w:r>
              <w:rPr>
                <w:sz w:val="21"/>
              </w:rPr>
              <w:t>术语和定义</w:t>
            </w:r>
          </w:p>
        </w:tc>
      </w:tr>
      <w:tr>
        <w:trPr>
          <w:trHeight w:val="312" w:hRule="atLeast"/>
        </w:trPr>
        <w:tc>
          <w:tcPr>
            <w:tcW w:w="3685" w:type="dxa"/>
          </w:tcPr>
          <w:p>
            <w:pPr>
              <w:pStyle w:val="TableParagraph"/>
              <w:spacing w:before="20"/>
              <w:ind w:right="-15"/>
              <w:rPr>
                <w:sz w:val="21"/>
              </w:rPr>
            </w:pPr>
            <w:r>
              <w:rPr>
                <w:sz w:val="21"/>
              </w:rPr>
              <w:t>职业健康安全管理体系要求（仅标题）</w:t>
            </w:r>
          </w:p>
        </w:tc>
        <w:tc>
          <w:tcPr>
            <w:tcW w:w="1101" w:type="dxa"/>
          </w:tcPr>
          <w:p>
            <w:pPr>
              <w:pStyle w:val="TableParagraph"/>
              <w:spacing w:before="34"/>
              <w:ind w:left="107"/>
              <w:rPr>
                <w:rFonts w:ascii="Times New Roman"/>
                <w:sz w:val="21"/>
              </w:rPr>
            </w:pPr>
            <w:r>
              <w:rPr>
                <w:rFonts w:ascii="Times New Roman"/>
                <w:w w:val="99"/>
                <w:sz w:val="21"/>
              </w:rPr>
              <w:t>4</w:t>
            </w:r>
          </w:p>
        </w:tc>
        <w:tc>
          <w:tcPr>
            <w:tcW w:w="1134" w:type="dxa"/>
          </w:tcPr>
          <w:p>
            <w:pPr>
              <w:pStyle w:val="TableParagraph"/>
              <w:spacing w:before="34"/>
              <w:ind w:left="107"/>
              <w:rPr>
                <w:rFonts w:ascii="Times New Roman"/>
                <w:sz w:val="21"/>
              </w:rPr>
            </w:pPr>
            <w:r>
              <w:rPr>
                <w:rFonts w:ascii="Times New Roman"/>
                <w:sz w:val="21"/>
              </w:rPr>
              <w:t>4.4</w:t>
            </w:r>
          </w:p>
        </w:tc>
        <w:tc>
          <w:tcPr>
            <w:tcW w:w="3686" w:type="dxa"/>
          </w:tcPr>
          <w:p>
            <w:pPr>
              <w:pStyle w:val="TableParagraph"/>
              <w:spacing w:before="20"/>
              <w:ind w:left="106"/>
              <w:rPr>
                <w:sz w:val="21"/>
              </w:rPr>
            </w:pPr>
            <w:r>
              <w:rPr>
                <w:sz w:val="21"/>
              </w:rPr>
              <w:t>职业健康安全管理体系</w:t>
            </w:r>
          </w:p>
        </w:tc>
      </w:tr>
      <w:tr>
        <w:trPr>
          <w:trHeight w:val="312" w:hRule="atLeast"/>
        </w:trPr>
        <w:tc>
          <w:tcPr>
            <w:tcW w:w="3685" w:type="dxa"/>
            <w:vMerge w:val="restart"/>
          </w:tcPr>
          <w:p>
            <w:pPr>
              <w:pStyle w:val="TableParagraph"/>
              <w:spacing w:before="3"/>
              <w:ind w:left="0"/>
              <w:rPr>
                <w:rFonts w:ascii="黑体"/>
                <w:sz w:val="14"/>
              </w:rPr>
            </w:pPr>
          </w:p>
          <w:p>
            <w:pPr>
              <w:pStyle w:val="TableParagraph"/>
              <w:spacing w:before="1"/>
              <w:rPr>
                <w:sz w:val="21"/>
              </w:rPr>
            </w:pPr>
            <w:r>
              <w:rPr>
                <w:sz w:val="21"/>
              </w:rPr>
              <w:t>总要求</w:t>
            </w:r>
          </w:p>
        </w:tc>
        <w:tc>
          <w:tcPr>
            <w:tcW w:w="1101" w:type="dxa"/>
            <w:vMerge w:val="restart"/>
          </w:tcPr>
          <w:p>
            <w:pPr>
              <w:pStyle w:val="TableParagraph"/>
              <w:spacing w:before="197"/>
              <w:ind w:left="107"/>
              <w:rPr>
                <w:rFonts w:ascii="Times New Roman"/>
                <w:sz w:val="21"/>
              </w:rPr>
            </w:pPr>
            <w:r>
              <w:rPr>
                <w:rFonts w:ascii="Times New Roman"/>
                <w:sz w:val="21"/>
              </w:rPr>
              <w:t>4.1</w:t>
            </w:r>
          </w:p>
        </w:tc>
        <w:tc>
          <w:tcPr>
            <w:tcW w:w="1134" w:type="dxa"/>
          </w:tcPr>
          <w:p>
            <w:pPr>
              <w:pStyle w:val="TableParagraph"/>
              <w:spacing w:before="34"/>
              <w:ind w:left="107"/>
              <w:rPr>
                <w:rFonts w:ascii="Times New Roman"/>
                <w:sz w:val="21"/>
              </w:rPr>
            </w:pPr>
            <w:r>
              <w:rPr>
                <w:rFonts w:ascii="Times New Roman"/>
                <w:sz w:val="21"/>
              </w:rPr>
              <w:t>4.3</w:t>
            </w:r>
          </w:p>
        </w:tc>
        <w:tc>
          <w:tcPr>
            <w:tcW w:w="3686" w:type="dxa"/>
          </w:tcPr>
          <w:p>
            <w:pPr>
              <w:pStyle w:val="TableParagraph"/>
              <w:spacing w:before="20"/>
              <w:ind w:left="106"/>
              <w:rPr>
                <w:sz w:val="21"/>
              </w:rPr>
            </w:pPr>
            <w:r>
              <w:rPr>
                <w:sz w:val="21"/>
              </w:rPr>
              <w:t>确定职业健康安全管理体系范围</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6"/>
              <w:ind w:left="107"/>
              <w:rPr>
                <w:rFonts w:ascii="Times New Roman"/>
                <w:sz w:val="21"/>
              </w:rPr>
            </w:pPr>
            <w:r>
              <w:rPr>
                <w:rFonts w:ascii="Times New Roman"/>
                <w:sz w:val="21"/>
              </w:rPr>
              <w:t>4.4</w:t>
            </w:r>
          </w:p>
        </w:tc>
        <w:tc>
          <w:tcPr>
            <w:tcW w:w="3686" w:type="dxa"/>
          </w:tcPr>
          <w:p>
            <w:pPr>
              <w:pStyle w:val="TableParagraph"/>
              <w:spacing w:before="22"/>
              <w:ind w:left="106"/>
              <w:rPr>
                <w:sz w:val="21"/>
              </w:rPr>
            </w:pPr>
            <w:r>
              <w:rPr>
                <w:sz w:val="21"/>
              </w:rPr>
              <w:t>职业健康安全管理体系</w:t>
            </w:r>
          </w:p>
        </w:tc>
      </w:tr>
      <w:tr>
        <w:trPr>
          <w:trHeight w:val="312" w:hRule="atLeast"/>
        </w:trPr>
        <w:tc>
          <w:tcPr>
            <w:tcW w:w="3685" w:type="dxa"/>
            <w:vMerge w:val="restart"/>
          </w:tcPr>
          <w:p>
            <w:pPr>
              <w:pStyle w:val="TableParagraph"/>
              <w:spacing w:before="3"/>
              <w:ind w:left="0"/>
              <w:rPr>
                <w:rFonts w:ascii="黑体"/>
                <w:sz w:val="14"/>
              </w:rPr>
            </w:pPr>
          </w:p>
          <w:p>
            <w:pPr>
              <w:pStyle w:val="TableParagraph"/>
              <w:rPr>
                <w:sz w:val="21"/>
              </w:rPr>
            </w:pPr>
            <w:r>
              <w:rPr>
                <w:sz w:val="21"/>
              </w:rPr>
              <w:t>职业健康安全方针</w:t>
            </w:r>
          </w:p>
        </w:tc>
        <w:tc>
          <w:tcPr>
            <w:tcW w:w="1101" w:type="dxa"/>
            <w:vMerge w:val="restart"/>
          </w:tcPr>
          <w:p>
            <w:pPr>
              <w:pStyle w:val="TableParagraph"/>
              <w:spacing w:before="196"/>
              <w:ind w:left="107"/>
              <w:rPr>
                <w:rFonts w:ascii="Times New Roman"/>
                <w:sz w:val="21"/>
              </w:rPr>
            </w:pPr>
            <w:r>
              <w:rPr>
                <w:rFonts w:ascii="Times New Roman"/>
                <w:sz w:val="21"/>
              </w:rPr>
              <w:t>4.2</w:t>
            </w:r>
          </w:p>
        </w:tc>
        <w:tc>
          <w:tcPr>
            <w:tcW w:w="1134" w:type="dxa"/>
          </w:tcPr>
          <w:p>
            <w:pPr>
              <w:pStyle w:val="TableParagraph"/>
              <w:spacing w:before="35"/>
              <w:ind w:left="107"/>
              <w:rPr>
                <w:rFonts w:ascii="Times New Roman"/>
                <w:sz w:val="21"/>
              </w:rPr>
            </w:pPr>
            <w:r>
              <w:rPr>
                <w:rFonts w:ascii="Times New Roman"/>
                <w:sz w:val="21"/>
              </w:rPr>
              <w:t>5.2</w:t>
            </w:r>
          </w:p>
        </w:tc>
        <w:tc>
          <w:tcPr>
            <w:tcW w:w="3686" w:type="dxa"/>
          </w:tcPr>
          <w:p>
            <w:pPr>
              <w:pStyle w:val="TableParagraph"/>
              <w:spacing w:before="21"/>
              <w:ind w:left="106"/>
              <w:rPr>
                <w:sz w:val="21"/>
              </w:rPr>
            </w:pPr>
            <w:r>
              <w:rPr>
                <w:sz w:val="21"/>
              </w:rPr>
              <w:t>职业健康安全方针</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5"/>
              <w:ind w:left="107"/>
              <w:rPr>
                <w:rFonts w:ascii="Times New Roman"/>
                <w:sz w:val="21"/>
              </w:rPr>
            </w:pPr>
            <w:r>
              <w:rPr>
                <w:rFonts w:ascii="Times New Roman"/>
                <w:sz w:val="21"/>
              </w:rPr>
              <w:t>10.3</w:t>
            </w:r>
          </w:p>
        </w:tc>
        <w:tc>
          <w:tcPr>
            <w:tcW w:w="3686" w:type="dxa"/>
          </w:tcPr>
          <w:p>
            <w:pPr>
              <w:pStyle w:val="TableParagraph"/>
              <w:spacing w:before="21"/>
              <w:ind w:left="106"/>
              <w:rPr>
                <w:sz w:val="21"/>
              </w:rPr>
            </w:pPr>
            <w:r>
              <w:rPr>
                <w:sz w:val="21"/>
              </w:rPr>
              <w:t>持续改进</w:t>
            </w:r>
          </w:p>
        </w:tc>
      </w:tr>
      <w:tr>
        <w:trPr>
          <w:trHeight w:val="312" w:hRule="atLeast"/>
        </w:trPr>
        <w:tc>
          <w:tcPr>
            <w:tcW w:w="3685" w:type="dxa"/>
          </w:tcPr>
          <w:p>
            <w:pPr>
              <w:pStyle w:val="TableParagraph"/>
              <w:spacing w:before="21"/>
              <w:rPr>
                <w:sz w:val="21"/>
              </w:rPr>
            </w:pPr>
            <w:r>
              <w:rPr>
                <w:sz w:val="21"/>
              </w:rPr>
              <w:t>策划（仅标题）</w:t>
            </w:r>
          </w:p>
        </w:tc>
        <w:tc>
          <w:tcPr>
            <w:tcW w:w="1101" w:type="dxa"/>
          </w:tcPr>
          <w:p>
            <w:pPr>
              <w:pStyle w:val="TableParagraph"/>
              <w:spacing w:before="34"/>
              <w:ind w:left="107"/>
              <w:rPr>
                <w:rFonts w:ascii="Times New Roman"/>
                <w:sz w:val="21"/>
              </w:rPr>
            </w:pPr>
            <w:r>
              <w:rPr>
                <w:rFonts w:ascii="Times New Roman"/>
                <w:sz w:val="21"/>
              </w:rPr>
              <w:t>4.3</w:t>
            </w:r>
          </w:p>
        </w:tc>
        <w:tc>
          <w:tcPr>
            <w:tcW w:w="1134" w:type="dxa"/>
          </w:tcPr>
          <w:p>
            <w:pPr>
              <w:pStyle w:val="TableParagraph"/>
              <w:spacing w:before="34"/>
              <w:ind w:left="107"/>
              <w:rPr>
                <w:rFonts w:ascii="Times New Roman"/>
                <w:sz w:val="21"/>
              </w:rPr>
            </w:pPr>
            <w:r>
              <w:rPr>
                <w:rFonts w:ascii="Times New Roman"/>
                <w:w w:val="99"/>
                <w:sz w:val="21"/>
              </w:rPr>
              <w:t>6</w:t>
            </w:r>
          </w:p>
        </w:tc>
        <w:tc>
          <w:tcPr>
            <w:tcW w:w="3686" w:type="dxa"/>
          </w:tcPr>
          <w:p>
            <w:pPr>
              <w:pStyle w:val="TableParagraph"/>
              <w:spacing w:before="21"/>
              <w:ind w:left="106"/>
              <w:rPr>
                <w:sz w:val="21"/>
              </w:rPr>
            </w:pPr>
            <w:r>
              <w:rPr>
                <w:sz w:val="21"/>
              </w:rPr>
              <w:t>策划（仅标题）</w:t>
            </w:r>
          </w:p>
        </w:tc>
      </w:tr>
      <w:tr>
        <w:trPr>
          <w:trHeight w:val="312" w:hRule="atLeast"/>
        </w:trPr>
        <w:tc>
          <w:tcPr>
            <w:tcW w:w="3685" w:type="dxa"/>
          </w:tcPr>
          <w:p>
            <w:pPr>
              <w:pStyle w:val="TableParagraph"/>
              <w:spacing w:before="20"/>
              <w:rPr>
                <w:sz w:val="21"/>
              </w:rPr>
            </w:pPr>
            <w:r>
              <w:rPr>
                <w:sz w:val="21"/>
              </w:rPr>
              <w:t>总要求（部分对应）</w:t>
            </w:r>
          </w:p>
        </w:tc>
        <w:tc>
          <w:tcPr>
            <w:tcW w:w="1101" w:type="dxa"/>
          </w:tcPr>
          <w:p>
            <w:pPr>
              <w:pStyle w:val="TableParagraph"/>
              <w:spacing w:before="34"/>
              <w:ind w:left="107"/>
              <w:rPr>
                <w:rFonts w:ascii="Times New Roman"/>
                <w:sz w:val="21"/>
              </w:rPr>
            </w:pPr>
            <w:r>
              <w:rPr>
                <w:rFonts w:ascii="Times New Roman"/>
                <w:sz w:val="21"/>
              </w:rPr>
              <w:t>4.1</w:t>
            </w:r>
          </w:p>
        </w:tc>
        <w:tc>
          <w:tcPr>
            <w:tcW w:w="1134" w:type="dxa"/>
          </w:tcPr>
          <w:p>
            <w:pPr>
              <w:pStyle w:val="TableParagraph"/>
              <w:spacing w:before="34"/>
              <w:ind w:left="107"/>
              <w:rPr>
                <w:rFonts w:ascii="Times New Roman"/>
                <w:sz w:val="21"/>
              </w:rPr>
            </w:pPr>
            <w:r>
              <w:rPr>
                <w:rFonts w:ascii="Times New Roman"/>
                <w:sz w:val="21"/>
              </w:rPr>
              <w:t>4.3</w:t>
            </w:r>
          </w:p>
        </w:tc>
        <w:tc>
          <w:tcPr>
            <w:tcW w:w="3686" w:type="dxa"/>
          </w:tcPr>
          <w:p>
            <w:pPr>
              <w:pStyle w:val="TableParagraph"/>
              <w:spacing w:before="20"/>
              <w:ind w:left="106"/>
              <w:rPr>
                <w:sz w:val="21"/>
              </w:rPr>
            </w:pPr>
            <w:r>
              <w:rPr>
                <w:sz w:val="21"/>
              </w:rPr>
              <w:t>确定职业健康安全管理体系范围</w:t>
            </w:r>
          </w:p>
        </w:tc>
      </w:tr>
      <w:tr>
        <w:trPr>
          <w:trHeight w:val="311" w:hRule="atLeast"/>
        </w:trPr>
        <w:tc>
          <w:tcPr>
            <w:tcW w:w="3685" w:type="dxa"/>
            <w:vMerge w:val="restart"/>
          </w:tcPr>
          <w:p>
            <w:pPr>
              <w:pStyle w:val="TableParagraph"/>
              <w:ind w:left="0"/>
              <w:rPr>
                <w:rFonts w:ascii="黑体"/>
                <w:sz w:val="20"/>
              </w:rPr>
            </w:pPr>
          </w:p>
          <w:p>
            <w:pPr>
              <w:pStyle w:val="TableParagraph"/>
              <w:ind w:left="0"/>
              <w:rPr>
                <w:rFonts w:ascii="黑体"/>
                <w:sz w:val="20"/>
              </w:rPr>
            </w:pPr>
          </w:p>
          <w:p>
            <w:pPr>
              <w:pStyle w:val="TableParagraph"/>
              <w:ind w:left="0"/>
              <w:rPr>
                <w:rFonts w:ascii="黑体"/>
                <w:sz w:val="20"/>
              </w:rPr>
            </w:pPr>
          </w:p>
          <w:p>
            <w:pPr>
              <w:pStyle w:val="TableParagraph"/>
              <w:spacing w:before="2"/>
              <w:ind w:left="0"/>
              <w:rPr>
                <w:rFonts w:ascii="黑体"/>
                <w:sz w:val="29"/>
              </w:rPr>
            </w:pPr>
          </w:p>
          <w:p>
            <w:pPr>
              <w:pStyle w:val="TableParagraph"/>
              <w:spacing w:line="278" w:lineRule="auto" w:before="1"/>
              <w:ind w:right="96"/>
              <w:rPr>
                <w:sz w:val="21"/>
              </w:rPr>
            </w:pPr>
            <w:r>
              <w:rPr>
                <w:spacing w:val="-11"/>
                <w:w w:val="95"/>
                <w:sz w:val="21"/>
              </w:rPr>
              <w:t>危险源辨识、风险评价和控制措施的确</w:t>
            </w:r>
            <w:r>
              <w:rPr>
                <w:spacing w:val="-11"/>
                <w:sz w:val="21"/>
              </w:rPr>
              <w:t>定</w:t>
            </w:r>
          </w:p>
        </w:tc>
        <w:tc>
          <w:tcPr>
            <w:tcW w:w="1101" w:type="dxa"/>
            <w:vMerge w:val="restart"/>
          </w:tcPr>
          <w:p>
            <w:pPr>
              <w:pStyle w:val="TableParagraph"/>
              <w:ind w:left="0"/>
              <w:rPr>
                <w:rFonts w:ascii="黑体"/>
                <w:sz w:val="22"/>
              </w:rPr>
            </w:pPr>
          </w:p>
          <w:p>
            <w:pPr>
              <w:pStyle w:val="TableParagraph"/>
              <w:ind w:left="0"/>
              <w:rPr>
                <w:rFonts w:ascii="黑体"/>
                <w:sz w:val="22"/>
              </w:rPr>
            </w:pPr>
          </w:p>
          <w:p>
            <w:pPr>
              <w:pStyle w:val="TableParagraph"/>
              <w:ind w:left="0"/>
              <w:rPr>
                <w:rFonts w:ascii="黑体"/>
                <w:sz w:val="22"/>
              </w:rPr>
            </w:pPr>
          </w:p>
          <w:p>
            <w:pPr>
              <w:pStyle w:val="TableParagraph"/>
              <w:ind w:left="0"/>
              <w:rPr>
                <w:rFonts w:ascii="黑体"/>
                <w:sz w:val="22"/>
              </w:rPr>
            </w:pPr>
          </w:p>
          <w:p>
            <w:pPr>
              <w:pStyle w:val="TableParagraph"/>
              <w:spacing w:before="185"/>
              <w:ind w:left="107"/>
              <w:rPr>
                <w:rFonts w:ascii="Times New Roman"/>
                <w:sz w:val="21"/>
              </w:rPr>
            </w:pPr>
            <w:r>
              <w:rPr>
                <w:rFonts w:ascii="Times New Roman"/>
                <w:sz w:val="21"/>
              </w:rPr>
              <w:t>4.3.1</w:t>
            </w:r>
          </w:p>
        </w:tc>
        <w:tc>
          <w:tcPr>
            <w:tcW w:w="1134" w:type="dxa"/>
          </w:tcPr>
          <w:p>
            <w:pPr>
              <w:pStyle w:val="TableParagraph"/>
              <w:spacing w:before="34"/>
              <w:ind w:left="107"/>
              <w:rPr>
                <w:rFonts w:ascii="Times New Roman"/>
                <w:sz w:val="21"/>
              </w:rPr>
            </w:pPr>
            <w:r>
              <w:rPr>
                <w:rFonts w:ascii="Times New Roman"/>
                <w:sz w:val="21"/>
              </w:rPr>
              <w:t>6.1</w:t>
            </w:r>
          </w:p>
        </w:tc>
        <w:tc>
          <w:tcPr>
            <w:tcW w:w="3686" w:type="dxa"/>
          </w:tcPr>
          <w:p>
            <w:pPr>
              <w:pStyle w:val="TableParagraph"/>
              <w:spacing w:before="20"/>
              <w:ind w:left="106"/>
              <w:rPr>
                <w:sz w:val="21"/>
              </w:rPr>
            </w:pPr>
            <w:r>
              <w:rPr>
                <w:sz w:val="21"/>
              </w:rPr>
              <w:t>应对风险和机遇的措施（仅标题）</w:t>
            </w:r>
          </w:p>
        </w:tc>
      </w:tr>
      <w:tr>
        <w:trPr>
          <w:trHeight w:val="624"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192"/>
              <w:ind w:left="107"/>
              <w:rPr>
                <w:rFonts w:ascii="Times New Roman"/>
                <w:sz w:val="21"/>
              </w:rPr>
            </w:pPr>
            <w:r>
              <w:rPr>
                <w:rFonts w:ascii="Times New Roman"/>
                <w:sz w:val="21"/>
              </w:rPr>
              <w:t>6.1.2</w:t>
            </w:r>
          </w:p>
        </w:tc>
        <w:tc>
          <w:tcPr>
            <w:tcW w:w="3686" w:type="dxa"/>
          </w:tcPr>
          <w:p>
            <w:pPr>
              <w:pStyle w:val="TableParagraph"/>
              <w:spacing w:before="22"/>
              <w:ind w:left="106"/>
              <w:rPr>
                <w:sz w:val="21"/>
              </w:rPr>
            </w:pPr>
            <w:r>
              <w:rPr>
                <w:sz w:val="21"/>
              </w:rPr>
              <w:t>危险源辨识及风险和机遇的评价（仅标</w:t>
            </w:r>
          </w:p>
          <w:p>
            <w:pPr>
              <w:pStyle w:val="TableParagraph"/>
              <w:spacing w:before="43"/>
              <w:ind w:left="106"/>
              <w:rPr>
                <w:sz w:val="21"/>
              </w:rPr>
            </w:pPr>
            <w:r>
              <w:rPr>
                <w:sz w:val="21"/>
              </w:rPr>
              <w:t>题）</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5"/>
              <w:ind w:left="107"/>
              <w:rPr>
                <w:rFonts w:ascii="Times New Roman"/>
                <w:sz w:val="21"/>
              </w:rPr>
            </w:pPr>
            <w:r>
              <w:rPr>
                <w:rFonts w:ascii="Times New Roman"/>
                <w:sz w:val="21"/>
              </w:rPr>
              <w:t>6.1.2.1</w:t>
            </w:r>
          </w:p>
        </w:tc>
        <w:tc>
          <w:tcPr>
            <w:tcW w:w="3686" w:type="dxa"/>
          </w:tcPr>
          <w:p>
            <w:pPr>
              <w:pStyle w:val="TableParagraph"/>
              <w:spacing w:before="21"/>
              <w:ind w:left="106"/>
              <w:rPr>
                <w:sz w:val="21"/>
              </w:rPr>
            </w:pPr>
            <w:r>
              <w:rPr>
                <w:sz w:val="21"/>
              </w:rPr>
              <w:t>危险源辨识</w:t>
            </w:r>
          </w:p>
        </w:tc>
      </w:tr>
      <w:tr>
        <w:trPr>
          <w:trHeight w:val="623"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191"/>
              <w:ind w:left="107"/>
              <w:rPr>
                <w:rFonts w:ascii="Times New Roman"/>
                <w:sz w:val="21"/>
              </w:rPr>
            </w:pPr>
            <w:r>
              <w:rPr>
                <w:rFonts w:ascii="Times New Roman"/>
                <w:sz w:val="21"/>
              </w:rPr>
              <w:t>6.1.2.2</w:t>
            </w:r>
          </w:p>
        </w:tc>
        <w:tc>
          <w:tcPr>
            <w:tcW w:w="3686" w:type="dxa"/>
          </w:tcPr>
          <w:p>
            <w:pPr>
              <w:pStyle w:val="TableParagraph"/>
              <w:spacing w:before="21"/>
              <w:ind w:left="106"/>
              <w:rPr>
                <w:sz w:val="21"/>
              </w:rPr>
            </w:pPr>
            <w:r>
              <w:rPr>
                <w:sz w:val="21"/>
              </w:rPr>
              <w:t>职业健康安全风险和职业健康安全管</w:t>
            </w:r>
          </w:p>
          <w:p>
            <w:pPr>
              <w:pStyle w:val="TableParagraph"/>
              <w:spacing w:before="43"/>
              <w:ind w:left="106"/>
              <w:rPr>
                <w:sz w:val="21"/>
              </w:rPr>
            </w:pPr>
            <w:r>
              <w:rPr>
                <w:sz w:val="21"/>
              </w:rPr>
              <w:t>理体系的其他风险的评价</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8.1.2</w:t>
            </w:r>
          </w:p>
        </w:tc>
        <w:tc>
          <w:tcPr>
            <w:tcW w:w="3686" w:type="dxa"/>
          </w:tcPr>
          <w:p>
            <w:pPr>
              <w:pStyle w:val="TableParagraph"/>
              <w:spacing w:before="20"/>
              <w:ind w:left="106"/>
              <w:rPr>
                <w:sz w:val="21"/>
              </w:rPr>
            </w:pPr>
            <w:r>
              <w:rPr>
                <w:sz w:val="21"/>
              </w:rPr>
              <w:t>消除危险源和降低职业健康安全风险</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8.1.3</w:t>
            </w:r>
          </w:p>
        </w:tc>
        <w:tc>
          <w:tcPr>
            <w:tcW w:w="3686" w:type="dxa"/>
          </w:tcPr>
          <w:p>
            <w:pPr>
              <w:pStyle w:val="TableParagraph"/>
              <w:spacing w:before="20"/>
              <w:ind w:left="106"/>
              <w:rPr>
                <w:sz w:val="21"/>
              </w:rPr>
            </w:pPr>
            <w:r>
              <w:rPr>
                <w:sz w:val="21"/>
              </w:rPr>
              <w:t>变更管理</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8.1.4.2</w:t>
            </w:r>
          </w:p>
        </w:tc>
        <w:tc>
          <w:tcPr>
            <w:tcW w:w="3686" w:type="dxa"/>
          </w:tcPr>
          <w:p>
            <w:pPr>
              <w:pStyle w:val="TableParagraph"/>
              <w:spacing w:before="20"/>
              <w:ind w:left="106"/>
              <w:rPr>
                <w:sz w:val="21"/>
              </w:rPr>
            </w:pPr>
            <w:r>
              <w:rPr>
                <w:sz w:val="21"/>
              </w:rPr>
              <w:t>承包方</w:t>
            </w:r>
          </w:p>
        </w:tc>
      </w:tr>
      <w:tr>
        <w:trPr>
          <w:trHeight w:val="312" w:hRule="atLeast"/>
        </w:trPr>
        <w:tc>
          <w:tcPr>
            <w:tcW w:w="3685" w:type="dxa"/>
            <w:vMerge w:val="restart"/>
          </w:tcPr>
          <w:p>
            <w:pPr>
              <w:pStyle w:val="TableParagraph"/>
              <w:spacing w:before="3"/>
              <w:ind w:left="0"/>
              <w:rPr>
                <w:rFonts w:ascii="黑体"/>
                <w:sz w:val="14"/>
              </w:rPr>
            </w:pPr>
          </w:p>
          <w:p>
            <w:pPr>
              <w:pStyle w:val="TableParagraph"/>
              <w:rPr>
                <w:sz w:val="21"/>
              </w:rPr>
            </w:pPr>
            <w:r>
              <w:rPr>
                <w:sz w:val="21"/>
              </w:rPr>
              <w:t>法律法规和其他要求</w:t>
            </w:r>
          </w:p>
        </w:tc>
        <w:tc>
          <w:tcPr>
            <w:tcW w:w="1101" w:type="dxa"/>
            <w:vMerge w:val="restart"/>
          </w:tcPr>
          <w:p>
            <w:pPr>
              <w:pStyle w:val="TableParagraph"/>
              <w:spacing w:before="196"/>
              <w:ind w:left="107"/>
              <w:rPr>
                <w:rFonts w:ascii="Times New Roman"/>
                <w:sz w:val="21"/>
              </w:rPr>
            </w:pPr>
            <w:r>
              <w:rPr>
                <w:rFonts w:ascii="Times New Roman"/>
                <w:sz w:val="21"/>
              </w:rPr>
              <w:t>4.3.2</w:t>
            </w:r>
          </w:p>
        </w:tc>
        <w:tc>
          <w:tcPr>
            <w:tcW w:w="1134" w:type="dxa"/>
          </w:tcPr>
          <w:p>
            <w:pPr>
              <w:pStyle w:val="TableParagraph"/>
              <w:spacing w:before="36"/>
              <w:ind w:left="107"/>
              <w:rPr>
                <w:rFonts w:ascii="Times New Roman"/>
                <w:sz w:val="21"/>
              </w:rPr>
            </w:pPr>
            <w:r>
              <w:rPr>
                <w:rFonts w:ascii="Times New Roman"/>
                <w:sz w:val="21"/>
              </w:rPr>
              <w:t>6.1.3</w:t>
            </w:r>
          </w:p>
        </w:tc>
        <w:tc>
          <w:tcPr>
            <w:tcW w:w="3686" w:type="dxa"/>
          </w:tcPr>
          <w:p>
            <w:pPr>
              <w:pStyle w:val="TableParagraph"/>
              <w:spacing w:before="22"/>
              <w:ind w:left="106"/>
              <w:rPr>
                <w:sz w:val="21"/>
              </w:rPr>
            </w:pPr>
            <w:r>
              <w:rPr>
                <w:sz w:val="21"/>
              </w:rPr>
              <w:t>法律法规要求和其他要求的确定</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5"/>
              <w:ind w:left="107"/>
              <w:rPr>
                <w:rFonts w:ascii="Times New Roman"/>
                <w:sz w:val="21"/>
              </w:rPr>
            </w:pPr>
            <w:r>
              <w:rPr>
                <w:rFonts w:ascii="Times New Roman"/>
                <w:sz w:val="21"/>
              </w:rPr>
              <w:t>8.1.4.3</w:t>
            </w:r>
          </w:p>
        </w:tc>
        <w:tc>
          <w:tcPr>
            <w:tcW w:w="3686" w:type="dxa"/>
          </w:tcPr>
          <w:p>
            <w:pPr>
              <w:pStyle w:val="TableParagraph"/>
              <w:spacing w:before="21"/>
              <w:ind w:left="106"/>
              <w:rPr>
                <w:sz w:val="21"/>
              </w:rPr>
            </w:pPr>
            <w:r>
              <w:rPr>
                <w:sz w:val="21"/>
              </w:rPr>
              <w:t>外包</w:t>
            </w:r>
          </w:p>
        </w:tc>
      </w:tr>
      <w:tr>
        <w:trPr>
          <w:trHeight w:val="623" w:hRule="atLeast"/>
        </w:trPr>
        <w:tc>
          <w:tcPr>
            <w:tcW w:w="3685" w:type="dxa"/>
            <w:vMerge w:val="restart"/>
          </w:tcPr>
          <w:p>
            <w:pPr>
              <w:pStyle w:val="TableParagraph"/>
              <w:ind w:left="0"/>
              <w:rPr>
                <w:rFonts w:ascii="黑体"/>
                <w:sz w:val="20"/>
              </w:rPr>
            </w:pPr>
          </w:p>
          <w:p>
            <w:pPr>
              <w:pStyle w:val="TableParagraph"/>
              <w:ind w:left="0"/>
              <w:rPr>
                <w:rFonts w:ascii="黑体"/>
                <w:sz w:val="20"/>
              </w:rPr>
            </w:pPr>
          </w:p>
          <w:p>
            <w:pPr>
              <w:pStyle w:val="TableParagraph"/>
              <w:spacing w:before="147"/>
              <w:rPr>
                <w:sz w:val="21"/>
              </w:rPr>
            </w:pPr>
            <w:r>
              <w:rPr>
                <w:sz w:val="21"/>
              </w:rPr>
              <w:t>目标和方案</w:t>
            </w:r>
          </w:p>
        </w:tc>
        <w:tc>
          <w:tcPr>
            <w:tcW w:w="1101" w:type="dxa"/>
            <w:vMerge w:val="restart"/>
          </w:tcPr>
          <w:p>
            <w:pPr>
              <w:pStyle w:val="TableParagraph"/>
              <w:ind w:left="0"/>
              <w:rPr>
                <w:rFonts w:ascii="黑体"/>
                <w:sz w:val="22"/>
              </w:rPr>
            </w:pPr>
          </w:p>
          <w:p>
            <w:pPr>
              <w:pStyle w:val="TableParagraph"/>
              <w:spacing w:before="7"/>
              <w:ind w:left="0"/>
              <w:rPr>
                <w:rFonts w:ascii="黑体"/>
                <w:sz w:val="30"/>
              </w:rPr>
            </w:pPr>
          </w:p>
          <w:p>
            <w:pPr>
              <w:pStyle w:val="TableParagraph"/>
              <w:ind w:left="107"/>
              <w:rPr>
                <w:rFonts w:ascii="Times New Roman"/>
                <w:sz w:val="21"/>
              </w:rPr>
            </w:pPr>
            <w:r>
              <w:rPr>
                <w:rFonts w:ascii="Times New Roman"/>
                <w:sz w:val="21"/>
              </w:rPr>
              <w:t>4.3.3</w:t>
            </w:r>
          </w:p>
        </w:tc>
        <w:tc>
          <w:tcPr>
            <w:tcW w:w="1134" w:type="dxa"/>
          </w:tcPr>
          <w:p>
            <w:pPr>
              <w:pStyle w:val="TableParagraph"/>
              <w:spacing w:before="191"/>
              <w:ind w:left="107"/>
              <w:rPr>
                <w:rFonts w:ascii="Times New Roman"/>
                <w:sz w:val="21"/>
              </w:rPr>
            </w:pPr>
            <w:r>
              <w:rPr>
                <w:rFonts w:ascii="Times New Roman"/>
                <w:sz w:val="21"/>
              </w:rPr>
              <w:t>6.2</w:t>
            </w:r>
          </w:p>
        </w:tc>
        <w:tc>
          <w:tcPr>
            <w:tcW w:w="3686" w:type="dxa"/>
          </w:tcPr>
          <w:p>
            <w:pPr>
              <w:pStyle w:val="TableParagraph"/>
              <w:spacing w:before="21"/>
              <w:ind w:left="106"/>
              <w:rPr>
                <w:sz w:val="21"/>
              </w:rPr>
            </w:pPr>
            <w:r>
              <w:rPr>
                <w:sz w:val="21"/>
              </w:rPr>
              <w:t>职业健康安全目标及其实现的策划（仅</w:t>
            </w:r>
          </w:p>
          <w:p>
            <w:pPr>
              <w:pStyle w:val="TableParagraph"/>
              <w:spacing w:before="43"/>
              <w:ind w:left="106"/>
              <w:rPr>
                <w:sz w:val="21"/>
              </w:rPr>
            </w:pPr>
            <w:r>
              <w:rPr>
                <w:sz w:val="21"/>
              </w:rPr>
              <w:t>标题）</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6.2.1</w:t>
            </w:r>
          </w:p>
        </w:tc>
        <w:tc>
          <w:tcPr>
            <w:tcW w:w="3686" w:type="dxa"/>
          </w:tcPr>
          <w:p>
            <w:pPr>
              <w:pStyle w:val="TableParagraph"/>
              <w:spacing w:before="21"/>
              <w:ind w:left="106"/>
              <w:rPr>
                <w:sz w:val="21"/>
              </w:rPr>
            </w:pPr>
            <w:r>
              <w:rPr>
                <w:sz w:val="21"/>
              </w:rPr>
              <w:t>职业健康安全目标</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6.2.2</w:t>
            </w:r>
          </w:p>
        </w:tc>
        <w:tc>
          <w:tcPr>
            <w:tcW w:w="3686" w:type="dxa"/>
          </w:tcPr>
          <w:p>
            <w:pPr>
              <w:pStyle w:val="TableParagraph"/>
              <w:spacing w:before="20"/>
              <w:ind w:left="106"/>
              <w:rPr>
                <w:sz w:val="21"/>
              </w:rPr>
            </w:pPr>
            <w:r>
              <w:rPr>
                <w:sz w:val="21"/>
              </w:rPr>
              <w:t>实现职业健康安全目标的策划</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10.3</w:t>
            </w:r>
          </w:p>
        </w:tc>
        <w:tc>
          <w:tcPr>
            <w:tcW w:w="3686" w:type="dxa"/>
          </w:tcPr>
          <w:p>
            <w:pPr>
              <w:pStyle w:val="TableParagraph"/>
              <w:spacing w:before="20"/>
              <w:ind w:left="106"/>
              <w:rPr>
                <w:sz w:val="21"/>
              </w:rPr>
            </w:pPr>
            <w:r>
              <w:rPr>
                <w:sz w:val="21"/>
              </w:rPr>
              <w:t>持续改进</w:t>
            </w:r>
          </w:p>
        </w:tc>
      </w:tr>
      <w:tr>
        <w:trPr>
          <w:trHeight w:val="312" w:hRule="atLeast"/>
        </w:trPr>
        <w:tc>
          <w:tcPr>
            <w:tcW w:w="3685" w:type="dxa"/>
            <w:vMerge w:val="restart"/>
          </w:tcPr>
          <w:p>
            <w:pPr>
              <w:pStyle w:val="TableParagraph"/>
              <w:spacing w:before="3"/>
              <w:ind w:left="0"/>
              <w:rPr>
                <w:rFonts w:ascii="黑体"/>
                <w:sz w:val="14"/>
              </w:rPr>
            </w:pPr>
          </w:p>
          <w:p>
            <w:pPr>
              <w:pStyle w:val="TableParagraph"/>
              <w:rPr>
                <w:sz w:val="21"/>
              </w:rPr>
            </w:pPr>
            <w:r>
              <w:rPr>
                <w:sz w:val="21"/>
              </w:rPr>
              <w:t>实施和运行（仅标题）</w:t>
            </w:r>
          </w:p>
        </w:tc>
        <w:tc>
          <w:tcPr>
            <w:tcW w:w="1101" w:type="dxa"/>
            <w:vMerge w:val="restart"/>
          </w:tcPr>
          <w:p>
            <w:pPr>
              <w:pStyle w:val="TableParagraph"/>
              <w:spacing w:before="196"/>
              <w:ind w:left="107"/>
              <w:rPr>
                <w:rFonts w:ascii="Times New Roman"/>
                <w:sz w:val="21"/>
              </w:rPr>
            </w:pPr>
            <w:r>
              <w:rPr>
                <w:rFonts w:ascii="Times New Roman"/>
                <w:sz w:val="21"/>
              </w:rPr>
              <w:t>4.4</w:t>
            </w:r>
          </w:p>
        </w:tc>
        <w:tc>
          <w:tcPr>
            <w:tcW w:w="1134" w:type="dxa"/>
          </w:tcPr>
          <w:p>
            <w:pPr>
              <w:pStyle w:val="TableParagraph"/>
              <w:spacing w:before="36"/>
              <w:ind w:left="107"/>
              <w:rPr>
                <w:rFonts w:ascii="Times New Roman"/>
                <w:sz w:val="21"/>
              </w:rPr>
            </w:pPr>
            <w:r>
              <w:rPr>
                <w:rFonts w:ascii="Times New Roman"/>
                <w:w w:val="99"/>
                <w:sz w:val="21"/>
              </w:rPr>
              <w:t>7</w:t>
            </w:r>
          </w:p>
        </w:tc>
        <w:tc>
          <w:tcPr>
            <w:tcW w:w="3686" w:type="dxa"/>
          </w:tcPr>
          <w:p>
            <w:pPr>
              <w:pStyle w:val="TableParagraph"/>
              <w:spacing w:before="22"/>
              <w:ind w:left="106"/>
              <w:rPr>
                <w:sz w:val="21"/>
              </w:rPr>
            </w:pPr>
            <w:r>
              <w:rPr>
                <w:sz w:val="21"/>
              </w:rPr>
              <w:t>支持（仅标题）</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5"/>
              <w:ind w:left="107"/>
              <w:rPr>
                <w:rFonts w:ascii="Times New Roman"/>
                <w:sz w:val="21"/>
              </w:rPr>
            </w:pPr>
            <w:r>
              <w:rPr>
                <w:rFonts w:ascii="Times New Roman"/>
                <w:w w:val="99"/>
                <w:sz w:val="21"/>
              </w:rPr>
              <w:t>8</w:t>
            </w:r>
          </w:p>
        </w:tc>
        <w:tc>
          <w:tcPr>
            <w:tcW w:w="3686" w:type="dxa"/>
          </w:tcPr>
          <w:p>
            <w:pPr>
              <w:pStyle w:val="TableParagraph"/>
              <w:spacing w:before="21"/>
              <w:ind w:left="106"/>
              <w:rPr>
                <w:sz w:val="21"/>
              </w:rPr>
            </w:pPr>
            <w:r>
              <w:rPr>
                <w:sz w:val="21"/>
              </w:rPr>
              <w:t>运行（仅标题）</w:t>
            </w:r>
          </w:p>
        </w:tc>
      </w:tr>
      <w:tr>
        <w:trPr>
          <w:trHeight w:val="312" w:hRule="atLeast"/>
        </w:trPr>
        <w:tc>
          <w:tcPr>
            <w:tcW w:w="3685" w:type="dxa"/>
            <w:vMerge w:val="restart"/>
          </w:tcPr>
          <w:p>
            <w:pPr>
              <w:pStyle w:val="TableParagraph"/>
              <w:spacing w:before="9"/>
              <w:ind w:left="0"/>
              <w:rPr>
                <w:rFonts w:ascii="黑体"/>
                <w:sz w:val="26"/>
              </w:rPr>
            </w:pPr>
          </w:p>
          <w:p>
            <w:pPr>
              <w:pStyle w:val="TableParagraph"/>
              <w:rPr>
                <w:sz w:val="21"/>
              </w:rPr>
            </w:pPr>
            <w:r>
              <w:rPr>
                <w:sz w:val="21"/>
              </w:rPr>
              <w:t>资源、作用、职责、责任和权限</w:t>
            </w:r>
          </w:p>
        </w:tc>
        <w:tc>
          <w:tcPr>
            <w:tcW w:w="1101" w:type="dxa"/>
            <w:vMerge w:val="restart"/>
          </w:tcPr>
          <w:p>
            <w:pPr>
              <w:pStyle w:val="TableParagraph"/>
              <w:spacing w:before="10"/>
              <w:ind w:left="0"/>
              <w:rPr>
                <w:rFonts w:ascii="黑体"/>
                <w:sz w:val="27"/>
              </w:rPr>
            </w:pPr>
          </w:p>
          <w:p>
            <w:pPr>
              <w:pStyle w:val="TableParagraph"/>
              <w:spacing w:before="1"/>
              <w:ind w:left="107"/>
              <w:rPr>
                <w:rFonts w:ascii="Times New Roman"/>
                <w:sz w:val="21"/>
              </w:rPr>
            </w:pPr>
            <w:r>
              <w:rPr>
                <w:rFonts w:ascii="Times New Roman"/>
                <w:sz w:val="21"/>
              </w:rPr>
              <w:t>4.4.1</w:t>
            </w:r>
          </w:p>
        </w:tc>
        <w:tc>
          <w:tcPr>
            <w:tcW w:w="1134" w:type="dxa"/>
          </w:tcPr>
          <w:p>
            <w:pPr>
              <w:pStyle w:val="TableParagraph"/>
              <w:spacing w:before="35"/>
              <w:ind w:left="107"/>
              <w:rPr>
                <w:rFonts w:ascii="Times New Roman"/>
                <w:sz w:val="21"/>
              </w:rPr>
            </w:pPr>
            <w:r>
              <w:rPr>
                <w:rFonts w:ascii="Times New Roman"/>
                <w:sz w:val="21"/>
              </w:rPr>
              <w:t>5.1</w:t>
            </w:r>
          </w:p>
        </w:tc>
        <w:tc>
          <w:tcPr>
            <w:tcW w:w="3686" w:type="dxa"/>
          </w:tcPr>
          <w:p>
            <w:pPr>
              <w:pStyle w:val="TableParagraph"/>
              <w:spacing w:before="21"/>
              <w:ind w:left="106"/>
              <w:rPr>
                <w:sz w:val="21"/>
              </w:rPr>
            </w:pPr>
            <w:r>
              <w:rPr>
                <w:sz w:val="21"/>
              </w:rPr>
              <w:t>领导作用与承诺</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5.3</w:t>
            </w:r>
          </w:p>
        </w:tc>
        <w:tc>
          <w:tcPr>
            <w:tcW w:w="3686" w:type="dxa"/>
          </w:tcPr>
          <w:p>
            <w:pPr>
              <w:pStyle w:val="TableParagraph"/>
              <w:spacing w:before="20"/>
              <w:ind w:left="106"/>
              <w:rPr>
                <w:sz w:val="21"/>
              </w:rPr>
            </w:pPr>
            <w:r>
              <w:rPr>
                <w:sz w:val="21"/>
              </w:rPr>
              <w:t>组织的角色、职责和权限</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7.1</w:t>
            </w:r>
          </w:p>
        </w:tc>
        <w:tc>
          <w:tcPr>
            <w:tcW w:w="3686" w:type="dxa"/>
          </w:tcPr>
          <w:p>
            <w:pPr>
              <w:pStyle w:val="TableParagraph"/>
              <w:spacing w:before="20"/>
              <w:ind w:left="106"/>
              <w:rPr>
                <w:sz w:val="21"/>
              </w:rPr>
            </w:pPr>
            <w:r>
              <w:rPr>
                <w:sz w:val="21"/>
              </w:rPr>
              <w:t>资源</w:t>
            </w:r>
          </w:p>
        </w:tc>
      </w:tr>
      <w:tr>
        <w:trPr>
          <w:trHeight w:val="312" w:hRule="atLeast"/>
        </w:trPr>
        <w:tc>
          <w:tcPr>
            <w:tcW w:w="3685" w:type="dxa"/>
            <w:vMerge w:val="restart"/>
          </w:tcPr>
          <w:p>
            <w:pPr>
              <w:pStyle w:val="TableParagraph"/>
              <w:spacing w:before="3"/>
              <w:ind w:left="0"/>
              <w:rPr>
                <w:rFonts w:ascii="黑体"/>
                <w:sz w:val="14"/>
              </w:rPr>
            </w:pPr>
          </w:p>
          <w:p>
            <w:pPr>
              <w:pStyle w:val="TableParagraph"/>
              <w:spacing w:before="1"/>
              <w:rPr>
                <w:sz w:val="21"/>
              </w:rPr>
            </w:pPr>
            <w:r>
              <w:rPr>
                <w:sz w:val="21"/>
              </w:rPr>
              <w:t>能力、培训和意识</w:t>
            </w:r>
          </w:p>
        </w:tc>
        <w:tc>
          <w:tcPr>
            <w:tcW w:w="1101" w:type="dxa"/>
            <w:vMerge w:val="restart"/>
          </w:tcPr>
          <w:p>
            <w:pPr>
              <w:pStyle w:val="TableParagraph"/>
              <w:spacing w:before="197"/>
              <w:ind w:left="107"/>
              <w:rPr>
                <w:rFonts w:ascii="Times New Roman"/>
                <w:sz w:val="21"/>
              </w:rPr>
            </w:pPr>
            <w:r>
              <w:rPr>
                <w:rFonts w:ascii="Times New Roman"/>
                <w:sz w:val="21"/>
              </w:rPr>
              <w:t>4.4.2</w:t>
            </w:r>
          </w:p>
        </w:tc>
        <w:tc>
          <w:tcPr>
            <w:tcW w:w="1134" w:type="dxa"/>
          </w:tcPr>
          <w:p>
            <w:pPr>
              <w:pStyle w:val="TableParagraph"/>
              <w:spacing w:before="34"/>
              <w:ind w:left="107"/>
              <w:rPr>
                <w:rFonts w:ascii="Times New Roman"/>
                <w:sz w:val="21"/>
              </w:rPr>
            </w:pPr>
            <w:r>
              <w:rPr>
                <w:rFonts w:ascii="Times New Roman"/>
                <w:sz w:val="21"/>
              </w:rPr>
              <w:t>7.2</w:t>
            </w:r>
          </w:p>
        </w:tc>
        <w:tc>
          <w:tcPr>
            <w:tcW w:w="3686" w:type="dxa"/>
          </w:tcPr>
          <w:p>
            <w:pPr>
              <w:pStyle w:val="TableParagraph"/>
              <w:spacing w:before="20"/>
              <w:ind w:left="106"/>
              <w:rPr>
                <w:sz w:val="21"/>
              </w:rPr>
            </w:pPr>
            <w:r>
              <w:rPr>
                <w:sz w:val="21"/>
              </w:rPr>
              <w:t>能力</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6"/>
              <w:ind w:left="107"/>
              <w:rPr>
                <w:rFonts w:ascii="Times New Roman"/>
                <w:sz w:val="21"/>
              </w:rPr>
            </w:pPr>
            <w:r>
              <w:rPr>
                <w:rFonts w:ascii="Times New Roman"/>
                <w:sz w:val="21"/>
              </w:rPr>
              <w:t>7.3</w:t>
            </w:r>
          </w:p>
        </w:tc>
        <w:tc>
          <w:tcPr>
            <w:tcW w:w="3686" w:type="dxa"/>
          </w:tcPr>
          <w:p>
            <w:pPr>
              <w:pStyle w:val="TableParagraph"/>
              <w:spacing w:before="22"/>
              <w:ind w:left="106"/>
              <w:rPr>
                <w:sz w:val="21"/>
              </w:rPr>
            </w:pPr>
            <w:r>
              <w:rPr>
                <w:sz w:val="21"/>
              </w:rPr>
              <w:t>意识</w:t>
            </w:r>
          </w:p>
        </w:tc>
      </w:tr>
      <w:tr>
        <w:trPr>
          <w:trHeight w:val="312" w:hRule="atLeast"/>
        </w:trPr>
        <w:tc>
          <w:tcPr>
            <w:tcW w:w="3685" w:type="dxa"/>
          </w:tcPr>
          <w:p>
            <w:pPr>
              <w:pStyle w:val="TableParagraph"/>
              <w:spacing w:before="21"/>
              <w:rPr>
                <w:sz w:val="21"/>
              </w:rPr>
            </w:pPr>
            <w:r>
              <w:rPr>
                <w:sz w:val="21"/>
              </w:rPr>
              <w:t>沟通、参与和协商（仅标题）</w:t>
            </w:r>
          </w:p>
        </w:tc>
        <w:tc>
          <w:tcPr>
            <w:tcW w:w="1101" w:type="dxa"/>
          </w:tcPr>
          <w:p>
            <w:pPr>
              <w:pStyle w:val="TableParagraph"/>
              <w:spacing w:before="35"/>
              <w:ind w:left="107"/>
              <w:rPr>
                <w:rFonts w:ascii="Times New Roman"/>
                <w:sz w:val="21"/>
              </w:rPr>
            </w:pPr>
            <w:r>
              <w:rPr>
                <w:rFonts w:ascii="Times New Roman"/>
                <w:sz w:val="21"/>
              </w:rPr>
              <w:t>4.4.3</w:t>
            </w:r>
          </w:p>
        </w:tc>
        <w:tc>
          <w:tcPr>
            <w:tcW w:w="1134" w:type="dxa"/>
          </w:tcPr>
          <w:p>
            <w:pPr>
              <w:pStyle w:val="TableParagraph"/>
              <w:spacing w:before="35"/>
              <w:ind w:left="107"/>
              <w:rPr>
                <w:rFonts w:ascii="Times New Roman"/>
                <w:sz w:val="21"/>
              </w:rPr>
            </w:pPr>
            <w:r>
              <w:rPr>
                <w:rFonts w:ascii="Times New Roman"/>
                <w:w w:val="99"/>
                <w:sz w:val="21"/>
              </w:rPr>
              <w:t>5</w:t>
            </w:r>
          </w:p>
        </w:tc>
        <w:tc>
          <w:tcPr>
            <w:tcW w:w="3686" w:type="dxa"/>
          </w:tcPr>
          <w:p>
            <w:pPr>
              <w:pStyle w:val="TableParagraph"/>
              <w:spacing w:before="21"/>
              <w:ind w:left="106"/>
              <w:rPr>
                <w:sz w:val="21"/>
              </w:rPr>
            </w:pPr>
            <w:r>
              <w:rPr>
                <w:sz w:val="21"/>
              </w:rPr>
              <w:t>领导作用和工作人员参与（仅标题）</w:t>
            </w:r>
          </w:p>
        </w:tc>
      </w:tr>
      <w:tr>
        <w:trPr>
          <w:trHeight w:val="312" w:hRule="atLeast"/>
        </w:trPr>
        <w:tc>
          <w:tcPr>
            <w:tcW w:w="3685" w:type="dxa"/>
            <w:vMerge w:val="restart"/>
          </w:tcPr>
          <w:p>
            <w:pPr>
              <w:pStyle w:val="TableParagraph"/>
              <w:ind w:left="0"/>
              <w:rPr>
                <w:rFonts w:ascii="黑体"/>
                <w:sz w:val="20"/>
              </w:rPr>
            </w:pPr>
          </w:p>
          <w:p>
            <w:pPr>
              <w:pStyle w:val="TableParagraph"/>
              <w:spacing w:before="3"/>
              <w:ind w:left="0"/>
              <w:rPr>
                <w:rFonts w:ascii="黑体"/>
                <w:sz w:val="19"/>
              </w:rPr>
            </w:pPr>
          </w:p>
          <w:p>
            <w:pPr>
              <w:pStyle w:val="TableParagraph"/>
              <w:spacing w:before="1"/>
              <w:rPr>
                <w:sz w:val="21"/>
              </w:rPr>
            </w:pPr>
            <w:r>
              <w:rPr>
                <w:sz w:val="21"/>
              </w:rPr>
              <w:t>沟通</w:t>
            </w:r>
          </w:p>
        </w:tc>
        <w:tc>
          <w:tcPr>
            <w:tcW w:w="1101" w:type="dxa"/>
            <w:vMerge w:val="restart"/>
          </w:tcPr>
          <w:p>
            <w:pPr>
              <w:pStyle w:val="TableParagraph"/>
              <w:ind w:left="0"/>
              <w:rPr>
                <w:rFonts w:ascii="黑体"/>
                <w:sz w:val="22"/>
              </w:rPr>
            </w:pPr>
          </w:p>
          <w:p>
            <w:pPr>
              <w:pStyle w:val="TableParagraph"/>
              <w:spacing w:before="5"/>
              <w:ind w:left="0"/>
              <w:rPr>
                <w:rFonts w:ascii="黑体"/>
                <w:sz w:val="18"/>
              </w:rPr>
            </w:pPr>
          </w:p>
          <w:p>
            <w:pPr>
              <w:pStyle w:val="TableParagraph"/>
              <w:ind w:left="107"/>
              <w:rPr>
                <w:rFonts w:ascii="Times New Roman"/>
                <w:sz w:val="21"/>
              </w:rPr>
            </w:pPr>
            <w:r>
              <w:rPr>
                <w:rFonts w:ascii="Times New Roman"/>
                <w:sz w:val="21"/>
              </w:rPr>
              <w:t>4.4.3.1</w:t>
            </w:r>
          </w:p>
        </w:tc>
        <w:tc>
          <w:tcPr>
            <w:tcW w:w="1134" w:type="dxa"/>
          </w:tcPr>
          <w:p>
            <w:pPr>
              <w:pStyle w:val="TableParagraph"/>
              <w:spacing w:before="35"/>
              <w:ind w:left="107"/>
              <w:rPr>
                <w:rFonts w:ascii="Times New Roman"/>
                <w:sz w:val="21"/>
              </w:rPr>
            </w:pPr>
            <w:r>
              <w:rPr>
                <w:rFonts w:ascii="Times New Roman"/>
                <w:sz w:val="21"/>
              </w:rPr>
              <w:t>7.4</w:t>
            </w:r>
          </w:p>
        </w:tc>
        <w:tc>
          <w:tcPr>
            <w:tcW w:w="3686" w:type="dxa"/>
          </w:tcPr>
          <w:p>
            <w:pPr>
              <w:pStyle w:val="TableParagraph"/>
              <w:spacing w:before="21"/>
              <w:ind w:left="106"/>
              <w:rPr>
                <w:sz w:val="21"/>
              </w:rPr>
            </w:pPr>
            <w:r>
              <w:rPr>
                <w:sz w:val="21"/>
              </w:rPr>
              <w:t>沟通（仅标题）</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7.4.1</w:t>
            </w:r>
          </w:p>
        </w:tc>
        <w:tc>
          <w:tcPr>
            <w:tcW w:w="3686" w:type="dxa"/>
          </w:tcPr>
          <w:p>
            <w:pPr>
              <w:pStyle w:val="TableParagraph"/>
              <w:spacing w:before="21"/>
              <w:ind w:left="106"/>
              <w:rPr>
                <w:sz w:val="21"/>
              </w:rPr>
            </w:pPr>
            <w:r>
              <w:rPr>
                <w:sz w:val="21"/>
              </w:rPr>
              <w:t>总则</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7.4.2</w:t>
            </w:r>
          </w:p>
        </w:tc>
        <w:tc>
          <w:tcPr>
            <w:tcW w:w="3686" w:type="dxa"/>
          </w:tcPr>
          <w:p>
            <w:pPr>
              <w:pStyle w:val="TableParagraph"/>
              <w:spacing w:before="20"/>
              <w:ind w:left="106"/>
              <w:rPr>
                <w:sz w:val="21"/>
              </w:rPr>
            </w:pPr>
            <w:r>
              <w:rPr>
                <w:sz w:val="21"/>
              </w:rPr>
              <w:t>内部沟通</w:t>
            </w:r>
          </w:p>
        </w:tc>
      </w:tr>
      <w:tr>
        <w:trPr>
          <w:trHeight w:val="310"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7.4.3</w:t>
            </w:r>
          </w:p>
        </w:tc>
        <w:tc>
          <w:tcPr>
            <w:tcW w:w="3686" w:type="dxa"/>
          </w:tcPr>
          <w:p>
            <w:pPr>
              <w:pStyle w:val="TableParagraph"/>
              <w:spacing w:before="20"/>
              <w:ind w:left="106"/>
              <w:rPr>
                <w:sz w:val="21"/>
              </w:rPr>
            </w:pPr>
            <w:r>
              <w:rPr>
                <w:sz w:val="21"/>
              </w:rPr>
              <w:t>外部沟通</w:t>
            </w:r>
          </w:p>
        </w:tc>
      </w:tr>
    </w:tbl>
    <w:p>
      <w:pPr>
        <w:spacing w:after="0"/>
        <w:rPr>
          <w:sz w:val="21"/>
        </w:rPr>
        <w:sectPr>
          <w:pgSz w:w="11910" w:h="16840"/>
          <w:pgMar w:header="1442" w:footer="850" w:top="1660" w:bottom="1040" w:left="1140" w:right="740"/>
        </w:sectPr>
      </w:pPr>
    </w:p>
    <w:p>
      <w:pPr>
        <w:pStyle w:val="BodyText"/>
        <w:spacing w:before="10"/>
        <w:rPr>
          <w:rFonts w:ascii="Times New Roman"/>
          <w:sz w:val="11"/>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5"/>
        <w:gridCol w:w="1101"/>
        <w:gridCol w:w="1134"/>
        <w:gridCol w:w="3686"/>
      </w:tblGrid>
      <w:tr>
        <w:trPr>
          <w:trHeight w:val="312" w:hRule="atLeast"/>
        </w:trPr>
        <w:tc>
          <w:tcPr>
            <w:tcW w:w="4786" w:type="dxa"/>
            <w:gridSpan w:val="2"/>
          </w:tcPr>
          <w:p>
            <w:pPr>
              <w:pStyle w:val="TableParagraph"/>
              <w:spacing w:before="34"/>
              <w:ind w:left="1557"/>
              <w:rPr>
                <w:rFonts w:ascii="Times New Roman" w:hAnsi="Times New Roman"/>
                <w:sz w:val="21"/>
              </w:rPr>
            </w:pPr>
            <w:r>
              <w:rPr>
                <w:rFonts w:ascii="Times New Roman" w:hAnsi="Times New Roman"/>
                <w:sz w:val="21"/>
              </w:rPr>
              <w:t>GB/T 28001—2011</w:t>
            </w:r>
          </w:p>
        </w:tc>
        <w:tc>
          <w:tcPr>
            <w:tcW w:w="4820" w:type="dxa"/>
            <w:gridSpan w:val="2"/>
          </w:tcPr>
          <w:p>
            <w:pPr>
              <w:pStyle w:val="TableParagraph"/>
              <w:spacing w:before="21"/>
              <w:ind w:left="1569"/>
              <w:rPr>
                <w:rFonts w:ascii="Times New Roman" w:hAnsi="Times New Roman"/>
                <w:sz w:val="21"/>
              </w:rPr>
            </w:pPr>
            <w:r>
              <w:rPr>
                <w:rFonts w:ascii="Times New Roman" w:hAnsi="Times New Roman"/>
                <w:sz w:val="21"/>
              </w:rPr>
              <w:t>GB/T 45001</w:t>
            </w:r>
            <w:r>
              <w:rPr>
                <w:sz w:val="21"/>
              </w:rPr>
              <w:t>—</w:t>
            </w:r>
            <w:r>
              <w:rPr>
                <w:rFonts w:ascii="Times New Roman" w:hAnsi="Times New Roman"/>
                <w:sz w:val="21"/>
              </w:rPr>
              <w:t>2020</w:t>
            </w:r>
          </w:p>
        </w:tc>
      </w:tr>
      <w:tr>
        <w:trPr>
          <w:trHeight w:val="312" w:hRule="atLeast"/>
        </w:trPr>
        <w:tc>
          <w:tcPr>
            <w:tcW w:w="3685" w:type="dxa"/>
          </w:tcPr>
          <w:p>
            <w:pPr>
              <w:pStyle w:val="TableParagraph"/>
              <w:spacing w:before="20"/>
              <w:ind w:left="1399" w:right="1395"/>
              <w:jc w:val="center"/>
              <w:rPr>
                <w:sz w:val="21"/>
              </w:rPr>
            </w:pPr>
            <w:r>
              <w:rPr>
                <w:sz w:val="21"/>
              </w:rPr>
              <w:t>章条标题</w:t>
            </w:r>
          </w:p>
        </w:tc>
        <w:tc>
          <w:tcPr>
            <w:tcW w:w="1101" w:type="dxa"/>
          </w:tcPr>
          <w:p>
            <w:pPr>
              <w:pStyle w:val="TableParagraph"/>
              <w:spacing w:before="20"/>
              <w:ind w:left="234"/>
              <w:rPr>
                <w:sz w:val="21"/>
              </w:rPr>
            </w:pPr>
            <w:r>
              <w:rPr>
                <w:sz w:val="21"/>
              </w:rPr>
              <w:t>章条号</w:t>
            </w:r>
          </w:p>
        </w:tc>
        <w:tc>
          <w:tcPr>
            <w:tcW w:w="1134" w:type="dxa"/>
          </w:tcPr>
          <w:p>
            <w:pPr>
              <w:pStyle w:val="TableParagraph"/>
              <w:spacing w:before="20"/>
              <w:ind w:left="251"/>
              <w:rPr>
                <w:sz w:val="21"/>
              </w:rPr>
            </w:pPr>
            <w:r>
              <w:rPr>
                <w:sz w:val="21"/>
              </w:rPr>
              <w:t>章条号</w:t>
            </w:r>
          </w:p>
        </w:tc>
        <w:tc>
          <w:tcPr>
            <w:tcW w:w="3686" w:type="dxa"/>
          </w:tcPr>
          <w:p>
            <w:pPr>
              <w:pStyle w:val="TableParagraph"/>
              <w:spacing w:before="20"/>
              <w:ind w:left="1400" w:right="1395"/>
              <w:jc w:val="center"/>
              <w:rPr>
                <w:sz w:val="21"/>
              </w:rPr>
            </w:pPr>
            <w:r>
              <w:rPr>
                <w:sz w:val="21"/>
              </w:rPr>
              <w:t>章条标题</w:t>
            </w:r>
          </w:p>
        </w:tc>
      </w:tr>
      <w:tr>
        <w:trPr>
          <w:trHeight w:val="311" w:hRule="atLeast"/>
        </w:trPr>
        <w:tc>
          <w:tcPr>
            <w:tcW w:w="3685" w:type="dxa"/>
            <w:vMerge w:val="restart"/>
          </w:tcPr>
          <w:p>
            <w:pPr>
              <w:pStyle w:val="TableParagraph"/>
              <w:ind w:left="0"/>
              <w:rPr>
                <w:rFonts w:ascii="Times New Roman"/>
                <w:sz w:val="20"/>
              </w:rPr>
            </w:pPr>
          </w:p>
        </w:tc>
        <w:tc>
          <w:tcPr>
            <w:tcW w:w="1101" w:type="dxa"/>
            <w:vMerge w:val="restart"/>
          </w:tcPr>
          <w:p>
            <w:pPr>
              <w:pStyle w:val="TableParagraph"/>
              <w:ind w:left="0"/>
              <w:rPr>
                <w:rFonts w:ascii="Times New Roman"/>
                <w:sz w:val="20"/>
              </w:rPr>
            </w:pPr>
          </w:p>
        </w:tc>
        <w:tc>
          <w:tcPr>
            <w:tcW w:w="1134" w:type="dxa"/>
          </w:tcPr>
          <w:p>
            <w:pPr>
              <w:pStyle w:val="TableParagraph"/>
              <w:spacing w:before="34"/>
              <w:ind w:left="107"/>
              <w:rPr>
                <w:rFonts w:ascii="Times New Roman"/>
                <w:sz w:val="21"/>
              </w:rPr>
            </w:pPr>
            <w:r>
              <w:rPr>
                <w:rFonts w:ascii="Times New Roman"/>
                <w:sz w:val="21"/>
              </w:rPr>
              <w:t>8.1.4.2</w:t>
            </w:r>
          </w:p>
        </w:tc>
        <w:tc>
          <w:tcPr>
            <w:tcW w:w="3686" w:type="dxa"/>
          </w:tcPr>
          <w:p>
            <w:pPr>
              <w:pStyle w:val="TableParagraph"/>
              <w:spacing w:before="20"/>
              <w:ind w:left="106"/>
              <w:rPr>
                <w:sz w:val="21"/>
              </w:rPr>
            </w:pPr>
            <w:r>
              <w:rPr>
                <w:sz w:val="21"/>
              </w:rPr>
              <w:t>承包方</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6"/>
              <w:ind w:left="107"/>
              <w:rPr>
                <w:rFonts w:ascii="Times New Roman"/>
                <w:sz w:val="21"/>
              </w:rPr>
            </w:pPr>
            <w:r>
              <w:rPr>
                <w:rFonts w:ascii="Times New Roman"/>
                <w:sz w:val="21"/>
              </w:rPr>
              <w:t>8.1.4.3</w:t>
            </w:r>
          </w:p>
        </w:tc>
        <w:tc>
          <w:tcPr>
            <w:tcW w:w="3686" w:type="dxa"/>
          </w:tcPr>
          <w:p>
            <w:pPr>
              <w:pStyle w:val="TableParagraph"/>
              <w:spacing w:before="22"/>
              <w:ind w:left="106"/>
              <w:rPr>
                <w:sz w:val="21"/>
              </w:rPr>
            </w:pPr>
            <w:r>
              <w:rPr>
                <w:sz w:val="21"/>
              </w:rPr>
              <w:t>外包</w:t>
            </w:r>
          </w:p>
        </w:tc>
      </w:tr>
      <w:tr>
        <w:trPr>
          <w:trHeight w:val="624" w:hRule="atLeast"/>
        </w:trPr>
        <w:tc>
          <w:tcPr>
            <w:tcW w:w="3685" w:type="dxa"/>
            <w:vMerge w:val="restart"/>
          </w:tcPr>
          <w:p>
            <w:pPr>
              <w:pStyle w:val="TableParagraph"/>
              <w:ind w:left="0"/>
              <w:rPr>
                <w:rFonts w:ascii="Times New Roman"/>
                <w:sz w:val="20"/>
              </w:rPr>
            </w:pPr>
          </w:p>
          <w:p>
            <w:pPr>
              <w:pStyle w:val="TableParagraph"/>
              <w:spacing w:before="4"/>
              <w:ind w:left="0"/>
              <w:rPr>
                <w:rFonts w:ascii="Times New Roman"/>
                <w:sz w:val="23"/>
              </w:rPr>
            </w:pPr>
          </w:p>
          <w:p>
            <w:pPr>
              <w:pStyle w:val="TableParagraph"/>
              <w:rPr>
                <w:sz w:val="21"/>
              </w:rPr>
            </w:pPr>
            <w:r>
              <w:rPr>
                <w:sz w:val="21"/>
              </w:rPr>
              <w:t>参与和协商</w:t>
            </w:r>
          </w:p>
        </w:tc>
        <w:tc>
          <w:tcPr>
            <w:tcW w:w="1101" w:type="dxa"/>
            <w:vMerge w:val="restart"/>
          </w:tcPr>
          <w:p>
            <w:pPr>
              <w:pStyle w:val="TableParagraph"/>
              <w:ind w:left="0"/>
              <w:rPr>
                <w:rFonts w:ascii="Times New Roman"/>
                <w:sz w:val="22"/>
              </w:rPr>
            </w:pPr>
          </w:p>
          <w:p>
            <w:pPr>
              <w:pStyle w:val="TableParagraph"/>
              <w:spacing w:before="7"/>
              <w:ind w:left="0"/>
              <w:rPr>
                <w:rFonts w:ascii="Times New Roman"/>
                <w:sz w:val="22"/>
              </w:rPr>
            </w:pPr>
          </w:p>
          <w:p>
            <w:pPr>
              <w:pStyle w:val="TableParagraph"/>
              <w:ind w:left="107"/>
              <w:rPr>
                <w:rFonts w:ascii="Times New Roman"/>
                <w:sz w:val="21"/>
              </w:rPr>
            </w:pPr>
            <w:r>
              <w:rPr>
                <w:rFonts w:ascii="Times New Roman"/>
                <w:sz w:val="21"/>
              </w:rPr>
              <w:t>4.4.3.2</w:t>
            </w:r>
          </w:p>
        </w:tc>
        <w:tc>
          <w:tcPr>
            <w:tcW w:w="1134" w:type="dxa"/>
          </w:tcPr>
          <w:p>
            <w:pPr>
              <w:pStyle w:val="TableParagraph"/>
              <w:spacing w:before="191"/>
              <w:ind w:left="107"/>
              <w:rPr>
                <w:rFonts w:ascii="Times New Roman"/>
                <w:sz w:val="21"/>
              </w:rPr>
            </w:pPr>
            <w:r>
              <w:rPr>
                <w:rFonts w:ascii="Times New Roman"/>
                <w:sz w:val="21"/>
              </w:rPr>
              <w:t>4.2</w:t>
            </w:r>
          </w:p>
        </w:tc>
        <w:tc>
          <w:tcPr>
            <w:tcW w:w="3686" w:type="dxa"/>
          </w:tcPr>
          <w:p>
            <w:pPr>
              <w:pStyle w:val="TableParagraph"/>
              <w:spacing w:before="21"/>
              <w:ind w:left="106"/>
              <w:rPr>
                <w:sz w:val="21"/>
              </w:rPr>
            </w:pPr>
            <w:r>
              <w:rPr>
                <w:sz w:val="21"/>
              </w:rPr>
              <w:t>理解工作人员和其他相关方的需求和</w:t>
            </w:r>
          </w:p>
          <w:p>
            <w:pPr>
              <w:pStyle w:val="TableParagraph"/>
              <w:spacing w:before="43"/>
              <w:ind w:left="106"/>
              <w:rPr>
                <w:sz w:val="21"/>
              </w:rPr>
            </w:pPr>
            <w:r>
              <w:rPr>
                <w:sz w:val="21"/>
              </w:rPr>
              <w:t>期望</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5"/>
              <w:ind w:left="107"/>
              <w:rPr>
                <w:rFonts w:ascii="Times New Roman"/>
                <w:sz w:val="21"/>
              </w:rPr>
            </w:pPr>
            <w:r>
              <w:rPr>
                <w:rFonts w:ascii="Times New Roman"/>
                <w:sz w:val="21"/>
              </w:rPr>
              <w:t>5.4</w:t>
            </w:r>
          </w:p>
        </w:tc>
        <w:tc>
          <w:tcPr>
            <w:tcW w:w="3686" w:type="dxa"/>
          </w:tcPr>
          <w:p>
            <w:pPr>
              <w:pStyle w:val="TableParagraph"/>
              <w:spacing w:before="21"/>
              <w:ind w:left="106"/>
              <w:rPr>
                <w:sz w:val="21"/>
              </w:rPr>
            </w:pPr>
            <w:r>
              <w:rPr>
                <w:sz w:val="21"/>
              </w:rPr>
              <w:t>工作人员的协商和参与</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8.1.4.2</w:t>
            </w:r>
          </w:p>
        </w:tc>
        <w:tc>
          <w:tcPr>
            <w:tcW w:w="3686" w:type="dxa"/>
          </w:tcPr>
          <w:p>
            <w:pPr>
              <w:pStyle w:val="TableParagraph"/>
              <w:spacing w:before="21"/>
              <w:ind w:left="106"/>
              <w:rPr>
                <w:sz w:val="21"/>
              </w:rPr>
            </w:pPr>
            <w:r>
              <w:rPr>
                <w:sz w:val="21"/>
              </w:rPr>
              <w:t>承包方</w:t>
            </w:r>
          </w:p>
        </w:tc>
      </w:tr>
      <w:tr>
        <w:trPr>
          <w:trHeight w:val="312" w:hRule="atLeast"/>
        </w:trPr>
        <w:tc>
          <w:tcPr>
            <w:tcW w:w="3685" w:type="dxa"/>
            <w:vMerge w:val="restart"/>
          </w:tcPr>
          <w:p>
            <w:pPr>
              <w:pStyle w:val="TableParagraph"/>
              <w:spacing w:before="8"/>
              <w:ind w:left="0"/>
              <w:rPr>
                <w:rFonts w:ascii="Times New Roman"/>
                <w:sz w:val="15"/>
              </w:rPr>
            </w:pPr>
          </w:p>
          <w:p>
            <w:pPr>
              <w:pStyle w:val="TableParagraph"/>
              <w:rPr>
                <w:sz w:val="21"/>
              </w:rPr>
            </w:pPr>
            <w:r>
              <w:rPr>
                <w:sz w:val="21"/>
              </w:rPr>
              <w:t>文件</w:t>
            </w:r>
          </w:p>
        </w:tc>
        <w:tc>
          <w:tcPr>
            <w:tcW w:w="1101" w:type="dxa"/>
            <w:vMerge w:val="restart"/>
          </w:tcPr>
          <w:p>
            <w:pPr>
              <w:pStyle w:val="TableParagraph"/>
              <w:spacing w:before="195"/>
              <w:ind w:left="107"/>
              <w:rPr>
                <w:rFonts w:ascii="Times New Roman"/>
                <w:sz w:val="21"/>
              </w:rPr>
            </w:pPr>
            <w:r>
              <w:rPr>
                <w:rFonts w:ascii="Times New Roman"/>
                <w:sz w:val="21"/>
              </w:rPr>
              <w:t>4.4.4</w:t>
            </w:r>
          </w:p>
        </w:tc>
        <w:tc>
          <w:tcPr>
            <w:tcW w:w="1134" w:type="dxa"/>
          </w:tcPr>
          <w:p>
            <w:pPr>
              <w:pStyle w:val="TableParagraph"/>
              <w:spacing w:before="34"/>
              <w:ind w:left="107"/>
              <w:rPr>
                <w:rFonts w:ascii="Times New Roman"/>
                <w:sz w:val="21"/>
              </w:rPr>
            </w:pPr>
            <w:r>
              <w:rPr>
                <w:rFonts w:ascii="Times New Roman"/>
                <w:sz w:val="21"/>
              </w:rPr>
              <w:t>7.5</w:t>
            </w:r>
          </w:p>
        </w:tc>
        <w:tc>
          <w:tcPr>
            <w:tcW w:w="3686" w:type="dxa"/>
          </w:tcPr>
          <w:p>
            <w:pPr>
              <w:pStyle w:val="TableParagraph"/>
              <w:spacing w:before="20"/>
              <w:ind w:left="106"/>
              <w:rPr>
                <w:sz w:val="21"/>
              </w:rPr>
            </w:pPr>
            <w:r>
              <w:rPr>
                <w:sz w:val="21"/>
              </w:rPr>
              <w:t>文件化信息（仅标题）</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7.5.1</w:t>
            </w:r>
          </w:p>
        </w:tc>
        <w:tc>
          <w:tcPr>
            <w:tcW w:w="3686" w:type="dxa"/>
          </w:tcPr>
          <w:p>
            <w:pPr>
              <w:pStyle w:val="TableParagraph"/>
              <w:spacing w:before="20"/>
              <w:ind w:left="106"/>
              <w:rPr>
                <w:sz w:val="21"/>
              </w:rPr>
            </w:pPr>
            <w:r>
              <w:rPr>
                <w:sz w:val="21"/>
              </w:rPr>
              <w:t>总则</w:t>
            </w:r>
          </w:p>
        </w:tc>
      </w:tr>
      <w:tr>
        <w:trPr>
          <w:trHeight w:val="311" w:hRule="atLeast"/>
        </w:trPr>
        <w:tc>
          <w:tcPr>
            <w:tcW w:w="3685" w:type="dxa"/>
            <w:vMerge w:val="restart"/>
          </w:tcPr>
          <w:p>
            <w:pPr>
              <w:pStyle w:val="TableParagraph"/>
              <w:spacing w:before="10"/>
              <w:ind w:left="0"/>
              <w:rPr>
                <w:rFonts w:ascii="Times New Roman"/>
                <w:sz w:val="15"/>
              </w:rPr>
            </w:pPr>
          </w:p>
          <w:p>
            <w:pPr>
              <w:pStyle w:val="TableParagraph"/>
              <w:rPr>
                <w:sz w:val="21"/>
              </w:rPr>
            </w:pPr>
            <w:r>
              <w:rPr>
                <w:sz w:val="21"/>
              </w:rPr>
              <w:t>文件控制</w:t>
            </w:r>
          </w:p>
        </w:tc>
        <w:tc>
          <w:tcPr>
            <w:tcW w:w="1101" w:type="dxa"/>
            <w:vMerge w:val="restart"/>
          </w:tcPr>
          <w:p>
            <w:pPr>
              <w:pStyle w:val="TableParagraph"/>
              <w:spacing w:before="196"/>
              <w:ind w:left="107"/>
              <w:rPr>
                <w:rFonts w:ascii="Times New Roman"/>
                <w:sz w:val="21"/>
              </w:rPr>
            </w:pPr>
            <w:r>
              <w:rPr>
                <w:rFonts w:ascii="Times New Roman"/>
                <w:sz w:val="21"/>
              </w:rPr>
              <w:t>4.4.5</w:t>
            </w:r>
          </w:p>
        </w:tc>
        <w:tc>
          <w:tcPr>
            <w:tcW w:w="1134" w:type="dxa"/>
          </w:tcPr>
          <w:p>
            <w:pPr>
              <w:pStyle w:val="TableParagraph"/>
              <w:spacing w:before="36"/>
              <w:ind w:left="107"/>
              <w:rPr>
                <w:rFonts w:ascii="Times New Roman"/>
                <w:sz w:val="21"/>
              </w:rPr>
            </w:pPr>
            <w:r>
              <w:rPr>
                <w:rFonts w:ascii="Times New Roman"/>
                <w:sz w:val="21"/>
              </w:rPr>
              <w:t>7.5.2</w:t>
            </w:r>
          </w:p>
        </w:tc>
        <w:tc>
          <w:tcPr>
            <w:tcW w:w="3686" w:type="dxa"/>
          </w:tcPr>
          <w:p>
            <w:pPr>
              <w:pStyle w:val="TableParagraph"/>
              <w:spacing w:before="22"/>
              <w:ind w:left="106"/>
              <w:rPr>
                <w:sz w:val="21"/>
              </w:rPr>
            </w:pPr>
            <w:r>
              <w:rPr>
                <w:sz w:val="21"/>
              </w:rPr>
              <w:t>创建和更新</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5"/>
              <w:ind w:left="107"/>
              <w:rPr>
                <w:rFonts w:ascii="Times New Roman"/>
                <w:sz w:val="21"/>
              </w:rPr>
            </w:pPr>
            <w:r>
              <w:rPr>
                <w:rFonts w:ascii="Times New Roman"/>
                <w:sz w:val="21"/>
              </w:rPr>
              <w:t>7.5.3</w:t>
            </w:r>
          </w:p>
        </w:tc>
        <w:tc>
          <w:tcPr>
            <w:tcW w:w="3686" w:type="dxa"/>
          </w:tcPr>
          <w:p>
            <w:pPr>
              <w:pStyle w:val="TableParagraph"/>
              <w:spacing w:before="21"/>
              <w:ind w:left="106"/>
              <w:rPr>
                <w:sz w:val="21"/>
              </w:rPr>
            </w:pPr>
            <w:r>
              <w:rPr>
                <w:sz w:val="21"/>
              </w:rPr>
              <w:t>文件化信息的控制</w:t>
            </w:r>
          </w:p>
        </w:tc>
      </w:tr>
      <w:tr>
        <w:trPr>
          <w:trHeight w:val="311" w:hRule="atLeast"/>
        </w:trPr>
        <w:tc>
          <w:tcPr>
            <w:tcW w:w="3685" w:type="dxa"/>
            <w:vMerge w:val="restart"/>
          </w:tcPr>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10"/>
              <w:ind w:left="0"/>
              <w:rPr>
                <w:rFonts w:ascii="Times New Roman"/>
                <w:sz w:val="27"/>
              </w:rPr>
            </w:pPr>
          </w:p>
          <w:p>
            <w:pPr>
              <w:pStyle w:val="TableParagraph"/>
              <w:rPr>
                <w:sz w:val="21"/>
              </w:rPr>
            </w:pPr>
            <w:r>
              <w:rPr>
                <w:sz w:val="21"/>
              </w:rPr>
              <w:t>运行控制</w:t>
            </w:r>
          </w:p>
        </w:tc>
        <w:tc>
          <w:tcPr>
            <w:tcW w:w="1101" w:type="dxa"/>
            <w:vMerge w:val="restart"/>
          </w:tcPr>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
              <w:ind w:left="0"/>
              <w:rPr>
                <w:rFonts w:ascii="Times New Roman"/>
                <w:sz w:val="19"/>
              </w:rPr>
            </w:pPr>
          </w:p>
          <w:p>
            <w:pPr>
              <w:pStyle w:val="TableParagraph"/>
              <w:ind w:left="107"/>
              <w:rPr>
                <w:rFonts w:ascii="Times New Roman"/>
                <w:sz w:val="21"/>
              </w:rPr>
            </w:pPr>
            <w:r>
              <w:rPr>
                <w:rFonts w:ascii="Times New Roman"/>
                <w:sz w:val="21"/>
              </w:rPr>
              <w:t>4.4.6</w:t>
            </w:r>
          </w:p>
        </w:tc>
        <w:tc>
          <w:tcPr>
            <w:tcW w:w="1134" w:type="dxa"/>
          </w:tcPr>
          <w:p>
            <w:pPr>
              <w:pStyle w:val="TableParagraph"/>
              <w:spacing w:before="35"/>
              <w:ind w:left="107"/>
              <w:rPr>
                <w:rFonts w:ascii="Times New Roman"/>
                <w:sz w:val="21"/>
              </w:rPr>
            </w:pPr>
            <w:r>
              <w:rPr>
                <w:rFonts w:ascii="Times New Roman"/>
                <w:sz w:val="21"/>
              </w:rPr>
              <w:t>6.1.1</w:t>
            </w:r>
          </w:p>
        </w:tc>
        <w:tc>
          <w:tcPr>
            <w:tcW w:w="3686" w:type="dxa"/>
          </w:tcPr>
          <w:p>
            <w:pPr>
              <w:pStyle w:val="TableParagraph"/>
              <w:spacing w:before="21"/>
              <w:ind w:left="106"/>
              <w:rPr>
                <w:sz w:val="21"/>
              </w:rPr>
            </w:pPr>
            <w:r>
              <w:rPr>
                <w:sz w:val="21"/>
              </w:rPr>
              <w:t>总则</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6.1.4</w:t>
            </w:r>
          </w:p>
        </w:tc>
        <w:tc>
          <w:tcPr>
            <w:tcW w:w="3686" w:type="dxa"/>
          </w:tcPr>
          <w:p>
            <w:pPr>
              <w:pStyle w:val="TableParagraph"/>
              <w:spacing w:before="21"/>
              <w:ind w:left="106"/>
              <w:rPr>
                <w:sz w:val="21"/>
              </w:rPr>
            </w:pPr>
            <w:r>
              <w:rPr>
                <w:sz w:val="21"/>
              </w:rPr>
              <w:t>措施的策划</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8.1</w:t>
            </w:r>
          </w:p>
        </w:tc>
        <w:tc>
          <w:tcPr>
            <w:tcW w:w="3686" w:type="dxa"/>
          </w:tcPr>
          <w:p>
            <w:pPr>
              <w:pStyle w:val="TableParagraph"/>
              <w:spacing w:before="20"/>
              <w:ind w:left="106"/>
              <w:rPr>
                <w:sz w:val="21"/>
              </w:rPr>
            </w:pPr>
            <w:r>
              <w:rPr>
                <w:sz w:val="21"/>
              </w:rPr>
              <w:t>运行策划和控制（仅标题）</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8.1.1</w:t>
            </w:r>
          </w:p>
        </w:tc>
        <w:tc>
          <w:tcPr>
            <w:tcW w:w="3686" w:type="dxa"/>
          </w:tcPr>
          <w:p>
            <w:pPr>
              <w:pStyle w:val="TableParagraph"/>
              <w:spacing w:before="20"/>
              <w:ind w:left="106"/>
              <w:rPr>
                <w:sz w:val="21"/>
              </w:rPr>
            </w:pPr>
            <w:r>
              <w:rPr>
                <w:sz w:val="21"/>
              </w:rPr>
              <w:t>总则</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6"/>
              <w:ind w:left="107"/>
              <w:rPr>
                <w:rFonts w:ascii="Times New Roman"/>
                <w:sz w:val="21"/>
              </w:rPr>
            </w:pPr>
            <w:r>
              <w:rPr>
                <w:rFonts w:ascii="Times New Roman"/>
                <w:sz w:val="21"/>
              </w:rPr>
              <w:t>8.1.2</w:t>
            </w:r>
          </w:p>
        </w:tc>
        <w:tc>
          <w:tcPr>
            <w:tcW w:w="3686" w:type="dxa"/>
          </w:tcPr>
          <w:p>
            <w:pPr>
              <w:pStyle w:val="TableParagraph"/>
              <w:spacing w:before="22"/>
              <w:ind w:left="106"/>
              <w:rPr>
                <w:sz w:val="21"/>
              </w:rPr>
            </w:pPr>
            <w:r>
              <w:rPr>
                <w:sz w:val="21"/>
              </w:rPr>
              <w:t>消除危险源和降低职业健康安全风险</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5"/>
              <w:ind w:left="107"/>
              <w:rPr>
                <w:rFonts w:ascii="Times New Roman"/>
                <w:sz w:val="21"/>
              </w:rPr>
            </w:pPr>
            <w:r>
              <w:rPr>
                <w:rFonts w:ascii="Times New Roman"/>
                <w:sz w:val="21"/>
              </w:rPr>
              <w:t>8.1.3</w:t>
            </w:r>
          </w:p>
        </w:tc>
        <w:tc>
          <w:tcPr>
            <w:tcW w:w="3686" w:type="dxa"/>
          </w:tcPr>
          <w:p>
            <w:pPr>
              <w:pStyle w:val="TableParagraph"/>
              <w:spacing w:before="21"/>
              <w:ind w:left="106"/>
              <w:rPr>
                <w:sz w:val="21"/>
              </w:rPr>
            </w:pPr>
            <w:r>
              <w:rPr>
                <w:sz w:val="21"/>
              </w:rPr>
              <w:t>变更管理</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5"/>
              <w:ind w:left="107"/>
              <w:rPr>
                <w:rFonts w:ascii="Times New Roman"/>
                <w:sz w:val="21"/>
              </w:rPr>
            </w:pPr>
            <w:r>
              <w:rPr>
                <w:rFonts w:ascii="Times New Roman"/>
                <w:sz w:val="21"/>
              </w:rPr>
              <w:t>8.1.4</w:t>
            </w:r>
          </w:p>
        </w:tc>
        <w:tc>
          <w:tcPr>
            <w:tcW w:w="3686" w:type="dxa"/>
          </w:tcPr>
          <w:p>
            <w:pPr>
              <w:pStyle w:val="TableParagraph"/>
              <w:spacing w:before="21"/>
              <w:ind w:left="106"/>
              <w:rPr>
                <w:sz w:val="21"/>
              </w:rPr>
            </w:pPr>
            <w:r>
              <w:rPr>
                <w:sz w:val="21"/>
              </w:rPr>
              <w:t>采购</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8.1.4.1</w:t>
            </w:r>
          </w:p>
        </w:tc>
        <w:tc>
          <w:tcPr>
            <w:tcW w:w="3686" w:type="dxa"/>
          </w:tcPr>
          <w:p>
            <w:pPr>
              <w:pStyle w:val="TableParagraph"/>
              <w:spacing w:before="21"/>
              <w:ind w:left="106"/>
              <w:rPr>
                <w:sz w:val="21"/>
              </w:rPr>
            </w:pPr>
            <w:r>
              <w:rPr>
                <w:sz w:val="21"/>
              </w:rPr>
              <w:t>总则</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8.1.4.2</w:t>
            </w:r>
          </w:p>
        </w:tc>
        <w:tc>
          <w:tcPr>
            <w:tcW w:w="3686" w:type="dxa"/>
          </w:tcPr>
          <w:p>
            <w:pPr>
              <w:pStyle w:val="TableParagraph"/>
              <w:spacing w:before="20"/>
              <w:ind w:left="106"/>
              <w:rPr>
                <w:sz w:val="21"/>
              </w:rPr>
            </w:pPr>
            <w:r>
              <w:rPr>
                <w:sz w:val="21"/>
              </w:rPr>
              <w:t>承包方</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8.1.4.3</w:t>
            </w:r>
          </w:p>
        </w:tc>
        <w:tc>
          <w:tcPr>
            <w:tcW w:w="3686" w:type="dxa"/>
          </w:tcPr>
          <w:p>
            <w:pPr>
              <w:pStyle w:val="TableParagraph"/>
              <w:spacing w:before="20"/>
              <w:ind w:left="106"/>
              <w:rPr>
                <w:sz w:val="21"/>
              </w:rPr>
            </w:pPr>
            <w:r>
              <w:rPr>
                <w:sz w:val="21"/>
              </w:rPr>
              <w:t>外包</w:t>
            </w:r>
          </w:p>
        </w:tc>
      </w:tr>
      <w:tr>
        <w:trPr>
          <w:trHeight w:val="312" w:hRule="atLeast"/>
        </w:trPr>
        <w:tc>
          <w:tcPr>
            <w:tcW w:w="3685" w:type="dxa"/>
          </w:tcPr>
          <w:p>
            <w:pPr>
              <w:pStyle w:val="TableParagraph"/>
              <w:spacing w:before="22"/>
              <w:rPr>
                <w:sz w:val="21"/>
              </w:rPr>
            </w:pPr>
            <w:r>
              <w:rPr>
                <w:sz w:val="21"/>
              </w:rPr>
              <w:t>应急准备和响应</w:t>
            </w:r>
          </w:p>
        </w:tc>
        <w:tc>
          <w:tcPr>
            <w:tcW w:w="1101" w:type="dxa"/>
          </w:tcPr>
          <w:p>
            <w:pPr>
              <w:pStyle w:val="TableParagraph"/>
              <w:spacing w:before="36"/>
              <w:ind w:left="107"/>
              <w:rPr>
                <w:rFonts w:ascii="Times New Roman"/>
                <w:sz w:val="21"/>
              </w:rPr>
            </w:pPr>
            <w:r>
              <w:rPr>
                <w:rFonts w:ascii="Times New Roman"/>
                <w:sz w:val="21"/>
              </w:rPr>
              <w:t>4.4.7</w:t>
            </w:r>
          </w:p>
        </w:tc>
        <w:tc>
          <w:tcPr>
            <w:tcW w:w="1134" w:type="dxa"/>
          </w:tcPr>
          <w:p>
            <w:pPr>
              <w:pStyle w:val="TableParagraph"/>
              <w:spacing w:before="36"/>
              <w:ind w:left="107"/>
              <w:rPr>
                <w:rFonts w:ascii="Times New Roman"/>
                <w:sz w:val="21"/>
              </w:rPr>
            </w:pPr>
            <w:r>
              <w:rPr>
                <w:rFonts w:ascii="Times New Roman"/>
                <w:sz w:val="21"/>
              </w:rPr>
              <w:t>8.2</w:t>
            </w:r>
          </w:p>
        </w:tc>
        <w:tc>
          <w:tcPr>
            <w:tcW w:w="3686" w:type="dxa"/>
          </w:tcPr>
          <w:p>
            <w:pPr>
              <w:pStyle w:val="TableParagraph"/>
              <w:spacing w:before="22"/>
              <w:ind w:left="106"/>
              <w:rPr>
                <w:sz w:val="21"/>
              </w:rPr>
            </w:pPr>
            <w:r>
              <w:rPr>
                <w:sz w:val="21"/>
              </w:rPr>
              <w:t>应急准备和响应</w:t>
            </w:r>
          </w:p>
        </w:tc>
      </w:tr>
      <w:tr>
        <w:trPr>
          <w:trHeight w:val="311" w:hRule="atLeast"/>
        </w:trPr>
        <w:tc>
          <w:tcPr>
            <w:tcW w:w="3685" w:type="dxa"/>
          </w:tcPr>
          <w:p>
            <w:pPr>
              <w:pStyle w:val="TableParagraph"/>
              <w:spacing w:before="21"/>
              <w:rPr>
                <w:sz w:val="21"/>
              </w:rPr>
            </w:pPr>
            <w:r>
              <w:rPr>
                <w:sz w:val="21"/>
              </w:rPr>
              <w:t>检查（仅标题）</w:t>
            </w:r>
          </w:p>
        </w:tc>
        <w:tc>
          <w:tcPr>
            <w:tcW w:w="1101" w:type="dxa"/>
          </w:tcPr>
          <w:p>
            <w:pPr>
              <w:pStyle w:val="TableParagraph"/>
              <w:spacing w:before="35"/>
              <w:ind w:left="107"/>
              <w:rPr>
                <w:rFonts w:ascii="Times New Roman"/>
                <w:sz w:val="21"/>
              </w:rPr>
            </w:pPr>
            <w:r>
              <w:rPr>
                <w:rFonts w:ascii="Times New Roman"/>
                <w:sz w:val="21"/>
              </w:rPr>
              <w:t>4.5</w:t>
            </w:r>
          </w:p>
        </w:tc>
        <w:tc>
          <w:tcPr>
            <w:tcW w:w="1134" w:type="dxa"/>
          </w:tcPr>
          <w:p>
            <w:pPr>
              <w:pStyle w:val="TableParagraph"/>
              <w:spacing w:before="35"/>
              <w:ind w:left="107"/>
              <w:rPr>
                <w:rFonts w:ascii="Times New Roman"/>
                <w:sz w:val="21"/>
              </w:rPr>
            </w:pPr>
            <w:r>
              <w:rPr>
                <w:rFonts w:ascii="Times New Roman"/>
                <w:w w:val="99"/>
                <w:sz w:val="21"/>
              </w:rPr>
              <w:t>9</w:t>
            </w:r>
          </w:p>
        </w:tc>
        <w:tc>
          <w:tcPr>
            <w:tcW w:w="3686" w:type="dxa"/>
          </w:tcPr>
          <w:p>
            <w:pPr>
              <w:pStyle w:val="TableParagraph"/>
              <w:spacing w:before="21"/>
              <w:ind w:left="106"/>
              <w:rPr>
                <w:sz w:val="21"/>
              </w:rPr>
            </w:pPr>
            <w:r>
              <w:rPr>
                <w:sz w:val="21"/>
              </w:rPr>
              <w:t>绩效评价（仅标题）</w:t>
            </w:r>
          </w:p>
        </w:tc>
      </w:tr>
      <w:tr>
        <w:trPr>
          <w:trHeight w:val="312" w:hRule="atLeast"/>
        </w:trPr>
        <w:tc>
          <w:tcPr>
            <w:tcW w:w="3685" w:type="dxa"/>
            <w:vMerge w:val="restart"/>
          </w:tcPr>
          <w:p>
            <w:pPr>
              <w:pStyle w:val="TableParagraph"/>
              <w:spacing w:before="9"/>
              <w:ind w:left="0"/>
              <w:rPr>
                <w:rFonts w:ascii="Times New Roman"/>
                <w:sz w:val="15"/>
              </w:rPr>
            </w:pPr>
          </w:p>
          <w:p>
            <w:pPr>
              <w:pStyle w:val="TableParagraph"/>
              <w:rPr>
                <w:sz w:val="21"/>
              </w:rPr>
            </w:pPr>
            <w:r>
              <w:rPr>
                <w:sz w:val="21"/>
              </w:rPr>
              <w:t>绩效测量和监视</w:t>
            </w:r>
          </w:p>
        </w:tc>
        <w:tc>
          <w:tcPr>
            <w:tcW w:w="1101" w:type="dxa"/>
            <w:vMerge w:val="restart"/>
          </w:tcPr>
          <w:p>
            <w:pPr>
              <w:pStyle w:val="TableParagraph"/>
              <w:spacing w:before="196"/>
              <w:ind w:left="107"/>
              <w:rPr>
                <w:rFonts w:ascii="Times New Roman"/>
                <w:sz w:val="21"/>
              </w:rPr>
            </w:pPr>
            <w:r>
              <w:rPr>
                <w:rFonts w:ascii="Times New Roman"/>
                <w:sz w:val="21"/>
              </w:rPr>
              <w:t>4.5.1</w:t>
            </w:r>
          </w:p>
        </w:tc>
        <w:tc>
          <w:tcPr>
            <w:tcW w:w="1134" w:type="dxa"/>
          </w:tcPr>
          <w:p>
            <w:pPr>
              <w:pStyle w:val="TableParagraph"/>
              <w:spacing w:before="35"/>
              <w:ind w:left="107"/>
              <w:rPr>
                <w:rFonts w:ascii="Times New Roman"/>
                <w:sz w:val="21"/>
              </w:rPr>
            </w:pPr>
            <w:r>
              <w:rPr>
                <w:rFonts w:ascii="Times New Roman"/>
                <w:sz w:val="21"/>
              </w:rPr>
              <w:t>9.1</w:t>
            </w:r>
          </w:p>
        </w:tc>
        <w:tc>
          <w:tcPr>
            <w:tcW w:w="3686" w:type="dxa"/>
          </w:tcPr>
          <w:p>
            <w:pPr>
              <w:pStyle w:val="TableParagraph"/>
              <w:spacing w:before="21"/>
              <w:ind w:left="106" w:right="-15"/>
              <w:rPr>
                <w:sz w:val="21"/>
              </w:rPr>
            </w:pPr>
            <w:r>
              <w:rPr>
                <w:spacing w:val="-18"/>
                <w:sz w:val="21"/>
              </w:rPr>
              <w:t>监视、测量、分析和评价绩效</w:t>
            </w:r>
            <w:r>
              <w:rPr>
                <w:sz w:val="21"/>
              </w:rPr>
              <w:t>（仅标题）</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9.1.1</w:t>
            </w:r>
          </w:p>
        </w:tc>
        <w:tc>
          <w:tcPr>
            <w:tcW w:w="3686" w:type="dxa"/>
          </w:tcPr>
          <w:p>
            <w:pPr>
              <w:pStyle w:val="TableParagraph"/>
              <w:spacing w:before="20"/>
              <w:ind w:left="106"/>
              <w:rPr>
                <w:sz w:val="21"/>
              </w:rPr>
            </w:pPr>
            <w:r>
              <w:rPr>
                <w:sz w:val="21"/>
              </w:rPr>
              <w:t>总则</w:t>
            </w:r>
          </w:p>
        </w:tc>
      </w:tr>
      <w:tr>
        <w:trPr>
          <w:trHeight w:val="312" w:hRule="atLeast"/>
        </w:trPr>
        <w:tc>
          <w:tcPr>
            <w:tcW w:w="3685" w:type="dxa"/>
          </w:tcPr>
          <w:p>
            <w:pPr>
              <w:pStyle w:val="TableParagraph"/>
              <w:spacing w:before="20"/>
              <w:rPr>
                <w:sz w:val="21"/>
              </w:rPr>
            </w:pPr>
            <w:r>
              <w:rPr>
                <w:sz w:val="21"/>
              </w:rPr>
              <w:t>合规性评价</w:t>
            </w:r>
          </w:p>
        </w:tc>
        <w:tc>
          <w:tcPr>
            <w:tcW w:w="1101" w:type="dxa"/>
          </w:tcPr>
          <w:p>
            <w:pPr>
              <w:pStyle w:val="TableParagraph"/>
              <w:spacing w:before="34"/>
              <w:ind w:left="107"/>
              <w:rPr>
                <w:rFonts w:ascii="Times New Roman"/>
                <w:sz w:val="21"/>
              </w:rPr>
            </w:pPr>
            <w:r>
              <w:rPr>
                <w:rFonts w:ascii="Times New Roman"/>
                <w:sz w:val="21"/>
              </w:rPr>
              <w:t>4.5.2</w:t>
            </w:r>
          </w:p>
        </w:tc>
        <w:tc>
          <w:tcPr>
            <w:tcW w:w="1134" w:type="dxa"/>
          </w:tcPr>
          <w:p>
            <w:pPr>
              <w:pStyle w:val="TableParagraph"/>
              <w:spacing w:before="34"/>
              <w:ind w:left="107"/>
              <w:rPr>
                <w:rFonts w:ascii="Times New Roman"/>
                <w:sz w:val="21"/>
              </w:rPr>
            </w:pPr>
            <w:r>
              <w:rPr>
                <w:rFonts w:ascii="Times New Roman"/>
                <w:sz w:val="21"/>
              </w:rPr>
              <w:t>9.1.2</w:t>
            </w:r>
          </w:p>
        </w:tc>
        <w:tc>
          <w:tcPr>
            <w:tcW w:w="3686" w:type="dxa"/>
          </w:tcPr>
          <w:p>
            <w:pPr>
              <w:pStyle w:val="TableParagraph"/>
              <w:spacing w:before="20"/>
              <w:ind w:left="106"/>
              <w:rPr>
                <w:sz w:val="21"/>
              </w:rPr>
            </w:pPr>
            <w:r>
              <w:rPr>
                <w:sz w:val="21"/>
              </w:rPr>
              <w:t>合规性评价</w:t>
            </w:r>
          </w:p>
        </w:tc>
      </w:tr>
      <w:tr>
        <w:trPr>
          <w:trHeight w:val="623" w:hRule="atLeast"/>
        </w:trPr>
        <w:tc>
          <w:tcPr>
            <w:tcW w:w="3685" w:type="dxa"/>
          </w:tcPr>
          <w:p>
            <w:pPr>
              <w:pStyle w:val="TableParagraph"/>
              <w:spacing w:before="20"/>
              <w:rPr>
                <w:sz w:val="21"/>
              </w:rPr>
            </w:pPr>
            <w:r>
              <w:rPr>
                <w:spacing w:val="-11"/>
                <w:sz w:val="21"/>
              </w:rPr>
              <w:t>事件调查、不符合、纠正措施和预防措</w:t>
            </w:r>
          </w:p>
          <w:p>
            <w:pPr>
              <w:pStyle w:val="TableParagraph"/>
              <w:spacing w:before="43"/>
              <w:rPr>
                <w:sz w:val="21"/>
              </w:rPr>
            </w:pPr>
            <w:r>
              <w:rPr>
                <w:sz w:val="21"/>
              </w:rPr>
              <w:t>施（仅标题）</w:t>
            </w:r>
          </w:p>
        </w:tc>
        <w:tc>
          <w:tcPr>
            <w:tcW w:w="1101" w:type="dxa"/>
          </w:tcPr>
          <w:p>
            <w:pPr>
              <w:pStyle w:val="TableParagraph"/>
              <w:spacing w:before="190"/>
              <w:ind w:left="107"/>
              <w:rPr>
                <w:rFonts w:ascii="Times New Roman"/>
                <w:sz w:val="21"/>
              </w:rPr>
            </w:pPr>
            <w:r>
              <w:rPr>
                <w:rFonts w:ascii="Times New Roman"/>
                <w:sz w:val="21"/>
              </w:rPr>
              <w:t>4.5.3</w:t>
            </w:r>
          </w:p>
        </w:tc>
        <w:tc>
          <w:tcPr>
            <w:tcW w:w="1134" w:type="dxa"/>
            <w:vMerge w:val="restart"/>
          </w:tcPr>
          <w:p>
            <w:pPr>
              <w:pStyle w:val="TableParagraph"/>
              <w:ind w:left="0"/>
              <w:rPr>
                <w:rFonts w:ascii="Times New Roman"/>
                <w:sz w:val="22"/>
              </w:rPr>
            </w:pPr>
          </w:p>
          <w:p>
            <w:pPr>
              <w:pStyle w:val="TableParagraph"/>
              <w:spacing w:before="7"/>
              <w:ind w:left="0"/>
              <w:rPr>
                <w:rFonts w:ascii="Times New Roman"/>
                <w:sz w:val="22"/>
              </w:rPr>
            </w:pPr>
          </w:p>
          <w:p>
            <w:pPr>
              <w:pStyle w:val="TableParagraph"/>
              <w:spacing w:before="1"/>
              <w:ind w:left="107"/>
              <w:rPr>
                <w:rFonts w:ascii="Times New Roman"/>
                <w:sz w:val="21"/>
              </w:rPr>
            </w:pPr>
            <w:r>
              <w:rPr>
                <w:rFonts w:ascii="Times New Roman"/>
                <w:sz w:val="21"/>
              </w:rPr>
              <w:t>10.2</w:t>
            </w:r>
          </w:p>
        </w:tc>
        <w:tc>
          <w:tcPr>
            <w:tcW w:w="3686" w:type="dxa"/>
            <w:vMerge w:val="restart"/>
          </w:tcPr>
          <w:p>
            <w:pPr>
              <w:pStyle w:val="TableParagraph"/>
              <w:ind w:left="0"/>
              <w:rPr>
                <w:rFonts w:ascii="Times New Roman"/>
                <w:sz w:val="20"/>
              </w:rPr>
            </w:pPr>
          </w:p>
          <w:p>
            <w:pPr>
              <w:pStyle w:val="TableParagraph"/>
              <w:spacing w:before="5"/>
              <w:ind w:left="0"/>
              <w:rPr>
                <w:rFonts w:ascii="Times New Roman"/>
                <w:sz w:val="23"/>
              </w:rPr>
            </w:pPr>
          </w:p>
          <w:p>
            <w:pPr>
              <w:pStyle w:val="TableParagraph"/>
              <w:ind w:left="106"/>
              <w:rPr>
                <w:sz w:val="21"/>
              </w:rPr>
            </w:pPr>
            <w:r>
              <w:rPr>
                <w:sz w:val="21"/>
              </w:rPr>
              <w:t>事件、不符合和纠正措施</w:t>
            </w:r>
          </w:p>
        </w:tc>
      </w:tr>
      <w:tr>
        <w:trPr>
          <w:trHeight w:val="312" w:hRule="atLeast"/>
        </w:trPr>
        <w:tc>
          <w:tcPr>
            <w:tcW w:w="3685" w:type="dxa"/>
          </w:tcPr>
          <w:p>
            <w:pPr>
              <w:pStyle w:val="TableParagraph"/>
              <w:spacing w:before="22"/>
              <w:rPr>
                <w:sz w:val="21"/>
              </w:rPr>
            </w:pPr>
            <w:r>
              <w:rPr>
                <w:sz w:val="21"/>
              </w:rPr>
              <w:t>事件调查</w:t>
            </w:r>
          </w:p>
        </w:tc>
        <w:tc>
          <w:tcPr>
            <w:tcW w:w="1101" w:type="dxa"/>
          </w:tcPr>
          <w:p>
            <w:pPr>
              <w:pStyle w:val="TableParagraph"/>
              <w:spacing w:before="36"/>
              <w:ind w:left="107"/>
              <w:rPr>
                <w:rFonts w:ascii="Times New Roman"/>
                <w:sz w:val="21"/>
              </w:rPr>
            </w:pPr>
            <w:r>
              <w:rPr>
                <w:rFonts w:ascii="Times New Roman"/>
                <w:sz w:val="21"/>
              </w:rPr>
              <w:t>4.5.3.1</w:t>
            </w:r>
          </w:p>
        </w:tc>
        <w:tc>
          <w:tcPr>
            <w:tcW w:w="1134" w:type="dxa"/>
            <w:vMerge/>
            <w:tcBorders>
              <w:top w:val="nil"/>
            </w:tcBorders>
          </w:tcPr>
          <w:p>
            <w:pPr>
              <w:rPr>
                <w:sz w:val="2"/>
                <w:szCs w:val="2"/>
              </w:rPr>
            </w:pPr>
          </w:p>
        </w:tc>
        <w:tc>
          <w:tcPr>
            <w:tcW w:w="3686" w:type="dxa"/>
            <w:vMerge/>
            <w:tcBorders>
              <w:top w:val="nil"/>
            </w:tcBorders>
          </w:tcPr>
          <w:p>
            <w:pPr>
              <w:rPr>
                <w:sz w:val="2"/>
                <w:szCs w:val="2"/>
              </w:rPr>
            </w:pPr>
          </w:p>
        </w:tc>
      </w:tr>
      <w:tr>
        <w:trPr>
          <w:trHeight w:val="312" w:hRule="atLeast"/>
        </w:trPr>
        <w:tc>
          <w:tcPr>
            <w:tcW w:w="3685" w:type="dxa"/>
          </w:tcPr>
          <w:p>
            <w:pPr>
              <w:pStyle w:val="TableParagraph"/>
              <w:spacing w:before="21"/>
              <w:rPr>
                <w:sz w:val="21"/>
              </w:rPr>
            </w:pPr>
            <w:r>
              <w:rPr>
                <w:sz w:val="21"/>
              </w:rPr>
              <w:t>不符合、纠正措施和预防措施</w:t>
            </w:r>
          </w:p>
        </w:tc>
        <w:tc>
          <w:tcPr>
            <w:tcW w:w="1101" w:type="dxa"/>
          </w:tcPr>
          <w:p>
            <w:pPr>
              <w:pStyle w:val="TableParagraph"/>
              <w:spacing w:before="35"/>
              <w:ind w:left="107"/>
              <w:rPr>
                <w:rFonts w:ascii="Times New Roman"/>
                <w:sz w:val="21"/>
              </w:rPr>
            </w:pPr>
            <w:r>
              <w:rPr>
                <w:rFonts w:ascii="Times New Roman"/>
                <w:sz w:val="21"/>
              </w:rPr>
              <w:t>4.5.3.2</w:t>
            </w:r>
          </w:p>
        </w:tc>
        <w:tc>
          <w:tcPr>
            <w:tcW w:w="1134" w:type="dxa"/>
            <w:vMerge/>
            <w:tcBorders>
              <w:top w:val="nil"/>
            </w:tcBorders>
          </w:tcPr>
          <w:p>
            <w:pPr>
              <w:rPr>
                <w:sz w:val="2"/>
                <w:szCs w:val="2"/>
              </w:rPr>
            </w:pPr>
          </w:p>
        </w:tc>
        <w:tc>
          <w:tcPr>
            <w:tcW w:w="3686" w:type="dxa"/>
            <w:vMerge/>
            <w:tcBorders>
              <w:top w:val="nil"/>
            </w:tcBorders>
          </w:tcPr>
          <w:p>
            <w:pPr>
              <w:rPr>
                <w:sz w:val="2"/>
                <w:szCs w:val="2"/>
              </w:rPr>
            </w:pPr>
          </w:p>
        </w:tc>
      </w:tr>
      <w:tr>
        <w:trPr>
          <w:trHeight w:val="312" w:hRule="atLeast"/>
        </w:trPr>
        <w:tc>
          <w:tcPr>
            <w:tcW w:w="3685" w:type="dxa"/>
            <w:vMerge w:val="restart"/>
          </w:tcPr>
          <w:p>
            <w:pPr>
              <w:pStyle w:val="TableParagraph"/>
              <w:ind w:left="0"/>
              <w:rPr>
                <w:rFonts w:ascii="Times New Roman"/>
                <w:sz w:val="20"/>
              </w:rPr>
            </w:pPr>
          </w:p>
          <w:p>
            <w:pPr>
              <w:pStyle w:val="TableParagraph"/>
              <w:spacing w:before="9"/>
              <w:ind w:left="0"/>
              <w:rPr>
                <w:rFonts w:ascii="Times New Roman"/>
                <w:sz w:val="23"/>
              </w:rPr>
            </w:pPr>
          </w:p>
          <w:p>
            <w:pPr>
              <w:pStyle w:val="TableParagraph"/>
              <w:rPr>
                <w:sz w:val="21"/>
              </w:rPr>
            </w:pPr>
            <w:r>
              <w:rPr>
                <w:sz w:val="21"/>
              </w:rPr>
              <w:t>记录控制</w:t>
            </w:r>
          </w:p>
        </w:tc>
        <w:tc>
          <w:tcPr>
            <w:tcW w:w="1101" w:type="dxa"/>
            <w:vMerge w:val="restart"/>
          </w:tcPr>
          <w:p>
            <w:pPr>
              <w:pStyle w:val="TableParagraph"/>
              <w:ind w:left="0"/>
              <w:rPr>
                <w:rFonts w:ascii="Times New Roman"/>
                <w:sz w:val="22"/>
              </w:rPr>
            </w:pPr>
          </w:p>
          <w:p>
            <w:pPr>
              <w:pStyle w:val="TableParagraph"/>
              <w:ind w:left="0"/>
              <w:rPr>
                <w:rFonts w:ascii="Times New Roman"/>
                <w:sz w:val="23"/>
              </w:rPr>
            </w:pPr>
          </w:p>
          <w:p>
            <w:pPr>
              <w:pStyle w:val="TableParagraph"/>
              <w:ind w:left="107"/>
              <w:rPr>
                <w:rFonts w:ascii="Times New Roman"/>
                <w:sz w:val="21"/>
              </w:rPr>
            </w:pPr>
            <w:r>
              <w:rPr>
                <w:rFonts w:ascii="Times New Roman"/>
                <w:sz w:val="21"/>
              </w:rPr>
              <w:t>4.5.4</w:t>
            </w:r>
          </w:p>
        </w:tc>
        <w:tc>
          <w:tcPr>
            <w:tcW w:w="1134" w:type="dxa"/>
          </w:tcPr>
          <w:p>
            <w:pPr>
              <w:pStyle w:val="TableParagraph"/>
              <w:spacing w:before="35"/>
              <w:ind w:left="107"/>
              <w:rPr>
                <w:rFonts w:ascii="Times New Roman"/>
                <w:sz w:val="21"/>
              </w:rPr>
            </w:pPr>
            <w:r>
              <w:rPr>
                <w:rFonts w:ascii="Times New Roman"/>
                <w:sz w:val="21"/>
              </w:rPr>
              <w:t>7.5</w:t>
            </w:r>
          </w:p>
        </w:tc>
        <w:tc>
          <w:tcPr>
            <w:tcW w:w="3686" w:type="dxa"/>
          </w:tcPr>
          <w:p>
            <w:pPr>
              <w:pStyle w:val="TableParagraph"/>
              <w:spacing w:before="21"/>
              <w:ind w:left="106"/>
              <w:rPr>
                <w:sz w:val="21"/>
              </w:rPr>
            </w:pPr>
            <w:r>
              <w:rPr>
                <w:sz w:val="21"/>
              </w:rPr>
              <w:t>文件化信息（仅标题）</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7.5.1</w:t>
            </w:r>
          </w:p>
        </w:tc>
        <w:tc>
          <w:tcPr>
            <w:tcW w:w="3686" w:type="dxa"/>
          </w:tcPr>
          <w:p>
            <w:pPr>
              <w:pStyle w:val="TableParagraph"/>
              <w:spacing w:before="20"/>
              <w:ind w:left="106"/>
              <w:rPr>
                <w:sz w:val="21"/>
              </w:rPr>
            </w:pPr>
            <w:r>
              <w:rPr>
                <w:sz w:val="21"/>
              </w:rPr>
              <w:t>总则</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7.5.2</w:t>
            </w:r>
          </w:p>
        </w:tc>
        <w:tc>
          <w:tcPr>
            <w:tcW w:w="3686" w:type="dxa"/>
          </w:tcPr>
          <w:p>
            <w:pPr>
              <w:pStyle w:val="TableParagraph"/>
              <w:spacing w:before="20"/>
              <w:ind w:left="106"/>
              <w:rPr>
                <w:sz w:val="21"/>
              </w:rPr>
            </w:pPr>
            <w:r>
              <w:rPr>
                <w:sz w:val="21"/>
              </w:rPr>
              <w:t>创建和更新</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7.5.3</w:t>
            </w:r>
          </w:p>
        </w:tc>
        <w:tc>
          <w:tcPr>
            <w:tcW w:w="3686" w:type="dxa"/>
          </w:tcPr>
          <w:p>
            <w:pPr>
              <w:pStyle w:val="TableParagraph"/>
              <w:spacing w:before="20"/>
              <w:ind w:left="106"/>
              <w:rPr>
                <w:sz w:val="21"/>
              </w:rPr>
            </w:pPr>
            <w:r>
              <w:rPr>
                <w:sz w:val="21"/>
              </w:rPr>
              <w:t>文件化信息的控制</w:t>
            </w:r>
          </w:p>
        </w:tc>
      </w:tr>
      <w:tr>
        <w:trPr>
          <w:trHeight w:val="312" w:hRule="atLeast"/>
        </w:trPr>
        <w:tc>
          <w:tcPr>
            <w:tcW w:w="3685" w:type="dxa"/>
            <w:vMerge w:val="restart"/>
          </w:tcPr>
          <w:p>
            <w:pPr>
              <w:pStyle w:val="TableParagraph"/>
              <w:spacing w:before="10"/>
              <w:ind w:left="0"/>
              <w:rPr>
                <w:rFonts w:ascii="Times New Roman"/>
                <w:sz w:val="29"/>
              </w:rPr>
            </w:pPr>
          </w:p>
          <w:p>
            <w:pPr>
              <w:pStyle w:val="TableParagraph"/>
              <w:rPr>
                <w:sz w:val="21"/>
              </w:rPr>
            </w:pPr>
            <w:r>
              <w:rPr>
                <w:sz w:val="21"/>
              </w:rPr>
              <w:t>内部审核</w:t>
            </w:r>
          </w:p>
        </w:tc>
        <w:tc>
          <w:tcPr>
            <w:tcW w:w="1101" w:type="dxa"/>
            <w:vMerge w:val="restart"/>
          </w:tcPr>
          <w:p>
            <w:pPr>
              <w:pStyle w:val="TableParagraph"/>
              <w:spacing w:before="1"/>
              <w:ind w:left="0"/>
              <w:rPr>
                <w:rFonts w:ascii="Times New Roman"/>
                <w:sz w:val="31"/>
              </w:rPr>
            </w:pPr>
          </w:p>
          <w:p>
            <w:pPr>
              <w:pStyle w:val="TableParagraph"/>
              <w:ind w:left="107"/>
              <w:rPr>
                <w:rFonts w:ascii="Times New Roman"/>
                <w:sz w:val="21"/>
              </w:rPr>
            </w:pPr>
            <w:r>
              <w:rPr>
                <w:rFonts w:ascii="Times New Roman"/>
                <w:sz w:val="21"/>
              </w:rPr>
              <w:t>4.5.5</w:t>
            </w:r>
          </w:p>
        </w:tc>
        <w:tc>
          <w:tcPr>
            <w:tcW w:w="1134" w:type="dxa"/>
          </w:tcPr>
          <w:p>
            <w:pPr>
              <w:pStyle w:val="TableParagraph"/>
              <w:spacing w:before="36"/>
              <w:ind w:left="107"/>
              <w:rPr>
                <w:rFonts w:ascii="Times New Roman"/>
                <w:sz w:val="21"/>
              </w:rPr>
            </w:pPr>
            <w:r>
              <w:rPr>
                <w:rFonts w:ascii="Times New Roman"/>
                <w:sz w:val="21"/>
              </w:rPr>
              <w:t>9.2</w:t>
            </w:r>
          </w:p>
        </w:tc>
        <w:tc>
          <w:tcPr>
            <w:tcW w:w="3686" w:type="dxa"/>
          </w:tcPr>
          <w:p>
            <w:pPr>
              <w:pStyle w:val="TableParagraph"/>
              <w:spacing w:before="22"/>
              <w:ind w:left="106"/>
              <w:rPr>
                <w:sz w:val="21"/>
              </w:rPr>
            </w:pPr>
            <w:r>
              <w:rPr>
                <w:sz w:val="21"/>
              </w:rPr>
              <w:t>内部审核（仅标题）</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5"/>
              <w:ind w:left="107"/>
              <w:rPr>
                <w:rFonts w:ascii="Times New Roman"/>
                <w:sz w:val="21"/>
              </w:rPr>
            </w:pPr>
            <w:r>
              <w:rPr>
                <w:rFonts w:ascii="Times New Roman"/>
                <w:sz w:val="21"/>
              </w:rPr>
              <w:t>9.2.1</w:t>
            </w:r>
          </w:p>
        </w:tc>
        <w:tc>
          <w:tcPr>
            <w:tcW w:w="3686" w:type="dxa"/>
          </w:tcPr>
          <w:p>
            <w:pPr>
              <w:pStyle w:val="TableParagraph"/>
              <w:spacing w:before="21"/>
              <w:ind w:left="106"/>
              <w:rPr>
                <w:sz w:val="21"/>
              </w:rPr>
            </w:pPr>
            <w:r>
              <w:rPr>
                <w:sz w:val="21"/>
              </w:rPr>
              <w:t>总则</w:t>
            </w:r>
          </w:p>
        </w:tc>
      </w:tr>
      <w:tr>
        <w:trPr>
          <w:trHeight w:val="311"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5"/>
              <w:ind w:left="107"/>
              <w:rPr>
                <w:rFonts w:ascii="Times New Roman"/>
                <w:sz w:val="21"/>
              </w:rPr>
            </w:pPr>
            <w:r>
              <w:rPr>
                <w:rFonts w:ascii="Times New Roman"/>
                <w:sz w:val="21"/>
              </w:rPr>
              <w:t>9.2.2</w:t>
            </w:r>
          </w:p>
        </w:tc>
        <w:tc>
          <w:tcPr>
            <w:tcW w:w="3686" w:type="dxa"/>
          </w:tcPr>
          <w:p>
            <w:pPr>
              <w:pStyle w:val="TableParagraph"/>
              <w:spacing w:before="21"/>
              <w:ind w:left="106"/>
              <w:rPr>
                <w:sz w:val="21"/>
              </w:rPr>
            </w:pPr>
            <w:r>
              <w:rPr>
                <w:sz w:val="21"/>
              </w:rPr>
              <w:t>内部审核方案</w:t>
            </w:r>
          </w:p>
        </w:tc>
      </w:tr>
      <w:tr>
        <w:trPr>
          <w:trHeight w:val="312" w:hRule="atLeast"/>
        </w:trPr>
        <w:tc>
          <w:tcPr>
            <w:tcW w:w="3685" w:type="dxa"/>
            <w:vMerge w:val="restart"/>
          </w:tcPr>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17"/>
              </w:rPr>
            </w:pPr>
          </w:p>
          <w:p>
            <w:pPr>
              <w:pStyle w:val="TableParagraph"/>
              <w:rPr>
                <w:sz w:val="21"/>
              </w:rPr>
            </w:pPr>
            <w:r>
              <w:rPr>
                <w:sz w:val="21"/>
              </w:rPr>
              <w:t>管理评审</w:t>
            </w:r>
          </w:p>
        </w:tc>
        <w:tc>
          <w:tcPr>
            <w:tcW w:w="1101" w:type="dxa"/>
            <w:vMerge w:val="restart"/>
          </w:tcPr>
          <w:p>
            <w:pPr>
              <w:pStyle w:val="TableParagraph"/>
              <w:ind w:left="0"/>
              <w:rPr>
                <w:rFonts w:ascii="Times New Roman"/>
                <w:sz w:val="22"/>
              </w:rPr>
            </w:pPr>
          </w:p>
          <w:p>
            <w:pPr>
              <w:pStyle w:val="TableParagraph"/>
              <w:ind w:left="0"/>
              <w:rPr>
                <w:rFonts w:ascii="Times New Roman"/>
                <w:sz w:val="22"/>
              </w:rPr>
            </w:pPr>
          </w:p>
          <w:p>
            <w:pPr>
              <w:pStyle w:val="TableParagraph"/>
              <w:spacing w:before="167"/>
              <w:ind w:left="107"/>
              <w:rPr>
                <w:rFonts w:ascii="Times New Roman"/>
                <w:sz w:val="21"/>
              </w:rPr>
            </w:pPr>
            <w:r>
              <w:rPr>
                <w:rFonts w:ascii="Times New Roman"/>
                <w:sz w:val="21"/>
              </w:rPr>
              <w:t>4.6</w:t>
            </w:r>
          </w:p>
        </w:tc>
        <w:tc>
          <w:tcPr>
            <w:tcW w:w="1134" w:type="dxa"/>
          </w:tcPr>
          <w:p>
            <w:pPr>
              <w:pStyle w:val="TableParagraph"/>
              <w:spacing w:before="34"/>
              <w:ind w:left="107"/>
              <w:rPr>
                <w:rFonts w:ascii="Times New Roman"/>
                <w:sz w:val="21"/>
              </w:rPr>
            </w:pPr>
            <w:r>
              <w:rPr>
                <w:rFonts w:ascii="Times New Roman"/>
                <w:w w:val="99"/>
                <w:sz w:val="21"/>
              </w:rPr>
              <w:t>4</w:t>
            </w:r>
          </w:p>
        </w:tc>
        <w:tc>
          <w:tcPr>
            <w:tcW w:w="3686" w:type="dxa"/>
          </w:tcPr>
          <w:p>
            <w:pPr>
              <w:pStyle w:val="TableParagraph"/>
              <w:spacing w:before="21"/>
              <w:ind w:left="106"/>
              <w:rPr>
                <w:sz w:val="21"/>
              </w:rPr>
            </w:pPr>
            <w:r>
              <w:rPr>
                <w:sz w:val="21"/>
              </w:rPr>
              <w:t>组织所处的环境（仅标题）</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4"/>
              <w:ind w:left="107"/>
              <w:rPr>
                <w:rFonts w:ascii="Times New Roman"/>
                <w:sz w:val="21"/>
              </w:rPr>
            </w:pPr>
            <w:r>
              <w:rPr>
                <w:rFonts w:ascii="Times New Roman"/>
                <w:sz w:val="21"/>
              </w:rPr>
              <w:t>4.1</w:t>
            </w:r>
          </w:p>
        </w:tc>
        <w:tc>
          <w:tcPr>
            <w:tcW w:w="3686" w:type="dxa"/>
          </w:tcPr>
          <w:p>
            <w:pPr>
              <w:pStyle w:val="TableParagraph"/>
              <w:spacing w:before="20"/>
              <w:ind w:left="106"/>
              <w:rPr>
                <w:sz w:val="21"/>
              </w:rPr>
            </w:pPr>
            <w:r>
              <w:rPr>
                <w:sz w:val="21"/>
              </w:rPr>
              <w:t>理解组织及其所处的环境</w:t>
            </w:r>
          </w:p>
        </w:tc>
      </w:tr>
      <w:tr>
        <w:trPr>
          <w:trHeight w:val="624"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190"/>
              <w:ind w:left="107"/>
              <w:rPr>
                <w:rFonts w:ascii="Times New Roman"/>
                <w:sz w:val="21"/>
              </w:rPr>
            </w:pPr>
            <w:r>
              <w:rPr>
                <w:rFonts w:ascii="Times New Roman"/>
                <w:sz w:val="21"/>
              </w:rPr>
              <w:t>4.2</w:t>
            </w:r>
          </w:p>
        </w:tc>
        <w:tc>
          <w:tcPr>
            <w:tcW w:w="3686" w:type="dxa"/>
          </w:tcPr>
          <w:p>
            <w:pPr>
              <w:pStyle w:val="TableParagraph"/>
              <w:spacing w:before="20"/>
              <w:ind w:left="106"/>
              <w:rPr>
                <w:sz w:val="21"/>
              </w:rPr>
            </w:pPr>
            <w:r>
              <w:rPr>
                <w:sz w:val="21"/>
              </w:rPr>
              <w:t>理解工作人员和其他相关方的需求和</w:t>
            </w:r>
          </w:p>
          <w:p>
            <w:pPr>
              <w:pStyle w:val="TableParagraph"/>
              <w:spacing w:before="43"/>
              <w:ind w:left="106"/>
              <w:rPr>
                <w:sz w:val="21"/>
              </w:rPr>
            </w:pPr>
            <w:r>
              <w:rPr>
                <w:sz w:val="21"/>
              </w:rPr>
              <w:t>期望</w:t>
            </w:r>
          </w:p>
        </w:tc>
      </w:tr>
      <w:tr>
        <w:trPr>
          <w:trHeight w:val="310"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6"/>
              <w:ind w:left="107"/>
              <w:rPr>
                <w:rFonts w:ascii="Times New Roman"/>
                <w:sz w:val="21"/>
              </w:rPr>
            </w:pPr>
            <w:r>
              <w:rPr>
                <w:rFonts w:ascii="Times New Roman"/>
                <w:sz w:val="21"/>
              </w:rPr>
              <w:t>9.3</w:t>
            </w:r>
          </w:p>
        </w:tc>
        <w:tc>
          <w:tcPr>
            <w:tcW w:w="3686" w:type="dxa"/>
          </w:tcPr>
          <w:p>
            <w:pPr>
              <w:pStyle w:val="TableParagraph"/>
              <w:spacing w:line="268" w:lineRule="exact" w:before="22"/>
              <w:ind w:left="106"/>
              <w:rPr>
                <w:sz w:val="21"/>
              </w:rPr>
            </w:pPr>
            <w:r>
              <w:rPr>
                <w:sz w:val="21"/>
              </w:rPr>
              <w:t>管理评审</w:t>
            </w:r>
          </w:p>
        </w:tc>
      </w:tr>
    </w:tbl>
    <w:p>
      <w:pPr>
        <w:spacing w:after="0" w:line="268" w:lineRule="exact"/>
        <w:rPr>
          <w:sz w:val="21"/>
        </w:rPr>
        <w:sectPr>
          <w:pgSz w:w="11910" w:h="16840"/>
          <w:pgMar w:header="1442" w:footer="850" w:top="1660" w:bottom="1040" w:left="1140" w:right="740"/>
        </w:sectPr>
      </w:pPr>
    </w:p>
    <w:p>
      <w:pPr>
        <w:pStyle w:val="BodyText"/>
        <w:spacing w:before="10"/>
        <w:rPr>
          <w:rFonts w:ascii="Times New Roman"/>
          <w:sz w:val="11"/>
        </w:rPr>
      </w:pPr>
      <w:bookmarkStart w:name="参考文献" w:id="269"/>
      <w:bookmarkEnd w:id="269"/>
      <w:r>
        <w:rPr/>
      </w:r>
      <w:r>
        <w:rPr>
          <w:rFonts w:ascii="Times New Roman"/>
          <w:sz w:val="11"/>
        </w:rPr>
      </w: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5"/>
        <w:gridCol w:w="1101"/>
        <w:gridCol w:w="1134"/>
        <w:gridCol w:w="3686"/>
      </w:tblGrid>
      <w:tr>
        <w:trPr>
          <w:trHeight w:val="312" w:hRule="atLeast"/>
        </w:trPr>
        <w:tc>
          <w:tcPr>
            <w:tcW w:w="4786" w:type="dxa"/>
            <w:gridSpan w:val="2"/>
          </w:tcPr>
          <w:p>
            <w:pPr>
              <w:pStyle w:val="TableParagraph"/>
              <w:spacing w:before="34"/>
              <w:ind w:left="1557"/>
              <w:rPr>
                <w:rFonts w:ascii="Times New Roman" w:hAnsi="Times New Roman"/>
                <w:sz w:val="21"/>
              </w:rPr>
            </w:pPr>
            <w:r>
              <w:rPr>
                <w:rFonts w:ascii="Times New Roman" w:hAnsi="Times New Roman"/>
                <w:sz w:val="21"/>
              </w:rPr>
              <w:t>GB/T 28001—2011</w:t>
            </w:r>
          </w:p>
        </w:tc>
        <w:tc>
          <w:tcPr>
            <w:tcW w:w="4820" w:type="dxa"/>
            <w:gridSpan w:val="2"/>
          </w:tcPr>
          <w:p>
            <w:pPr>
              <w:pStyle w:val="TableParagraph"/>
              <w:spacing w:before="21"/>
              <w:ind w:left="1569"/>
              <w:rPr>
                <w:rFonts w:ascii="Times New Roman" w:hAnsi="Times New Roman"/>
                <w:sz w:val="21"/>
              </w:rPr>
            </w:pPr>
            <w:r>
              <w:rPr>
                <w:rFonts w:ascii="Times New Roman" w:hAnsi="Times New Roman"/>
                <w:sz w:val="21"/>
              </w:rPr>
              <w:t>GB/T 45001</w:t>
            </w:r>
            <w:r>
              <w:rPr>
                <w:sz w:val="21"/>
              </w:rPr>
              <w:t>—</w:t>
            </w:r>
            <w:r>
              <w:rPr>
                <w:rFonts w:ascii="Times New Roman" w:hAnsi="Times New Roman"/>
                <w:sz w:val="21"/>
              </w:rPr>
              <w:t>2020</w:t>
            </w:r>
          </w:p>
        </w:tc>
      </w:tr>
      <w:tr>
        <w:trPr>
          <w:trHeight w:val="312" w:hRule="atLeast"/>
        </w:trPr>
        <w:tc>
          <w:tcPr>
            <w:tcW w:w="3685" w:type="dxa"/>
          </w:tcPr>
          <w:p>
            <w:pPr>
              <w:pStyle w:val="TableParagraph"/>
              <w:spacing w:before="20"/>
              <w:ind w:left="1399" w:right="1395"/>
              <w:jc w:val="center"/>
              <w:rPr>
                <w:sz w:val="21"/>
              </w:rPr>
            </w:pPr>
            <w:r>
              <w:rPr>
                <w:sz w:val="21"/>
              </w:rPr>
              <w:t>章条标题</w:t>
            </w:r>
          </w:p>
        </w:tc>
        <w:tc>
          <w:tcPr>
            <w:tcW w:w="1101" w:type="dxa"/>
          </w:tcPr>
          <w:p>
            <w:pPr>
              <w:pStyle w:val="TableParagraph"/>
              <w:spacing w:before="20"/>
              <w:ind w:left="234"/>
              <w:rPr>
                <w:sz w:val="21"/>
              </w:rPr>
            </w:pPr>
            <w:r>
              <w:rPr>
                <w:sz w:val="21"/>
              </w:rPr>
              <w:t>章条号</w:t>
            </w:r>
          </w:p>
        </w:tc>
        <w:tc>
          <w:tcPr>
            <w:tcW w:w="1134" w:type="dxa"/>
          </w:tcPr>
          <w:p>
            <w:pPr>
              <w:pStyle w:val="TableParagraph"/>
              <w:spacing w:before="20"/>
              <w:ind w:left="251"/>
              <w:rPr>
                <w:sz w:val="21"/>
              </w:rPr>
            </w:pPr>
            <w:r>
              <w:rPr>
                <w:sz w:val="21"/>
              </w:rPr>
              <w:t>章条号</w:t>
            </w:r>
          </w:p>
        </w:tc>
        <w:tc>
          <w:tcPr>
            <w:tcW w:w="3686" w:type="dxa"/>
          </w:tcPr>
          <w:p>
            <w:pPr>
              <w:pStyle w:val="TableParagraph"/>
              <w:spacing w:before="20"/>
              <w:ind w:left="1400" w:right="1395"/>
              <w:jc w:val="center"/>
              <w:rPr>
                <w:sz w:val="21"/>
              </w:rPr>
            </w:pPr>
            <w:r>
              <w:rPr>
                <w:sz w:val="21"/>
              </w:rPr>
              <w:t>章条标题</w:t>
            </w:r>
          </w:p>
        </w:tc>
      </w:tr>
      <w:tr>
        <w:trPr>
          <w:trHeight w:val="311" w:hRule="atLeast"/>
        </w:trPr>
        <w:tc>
          <w:tcPr>
            <w:tcW w:w="3685" w:type="dxa"/>
            <w:vMerge w:val="restart"/>
          </w:tcPr>
          <w:p>
            <w:pPr>
              <w:pStyle w:val="TableParagraph"/>
              <w:ind w:left="0"/>
              <w:rPr>
                <w:rFonts w:ascii="Times New Roman"/>
                <w:sz w:val="20"/>
              </w:rPr>
            </w:pPr>
          </w:p>
        </w:tc>
        <w:tc>
          <w:tcPr>
            <w:tcW w:w="1101" w:type="dxa"/>
            <w:vMerge w:val="restart"/>
          </w:tcPr>
          <w:p>
            <w:pPr>
              <w:pStyle w:val="TableParagraph"/>
              <w:ind w:left="0"/>
              <w:rPr>
                <w:rFonts w:ascii="Times New Roman"/>
                <w:sz w:val="20"/>
              </w:rPr>
            </w:pPr>
          </w:p>
        </w:tc>
        <w:tc>
          <w:tcPr>
            <w:tcW w:w="1134" w:type="dxa"/>
          </w:tcPr>
          <w:p>
            <w:pPr>
              <w:pStyle w:val="TableParagraph"/>
              <w:spacing w:before="34"/>
              <w:ind w:left="107"/>
              <w:rPr>
                <w:rFonts w:ascii="Times New Roman"/>
                <w:sz w:val="21"/>
              </w:rPr>
            </w:pPr>
            <w:r>
              <w:rPr>
                <w:rFonts w:ascii="Times New Roman"/>
                <w:sz w:val="21"/>
              </w:rPr>
              <w:t>10</w:t>
            </w:r>
          </w:p>
        </w:tc>
        <w:tc>
          <w:tcPr>
            <w:tcW w:w="3686" w:type="dxa"/>
          </w:tcPr>
          <w:p>
            <w:pPr>
              <w:pStyle w:val="TableParagraph"/>
              <w:spacing w:before="20"/>
              <w:ind w:left="106"/>
              <w:rPr>
                <w:sz w:val="21"/>
              </w:rPr>
            </w:pPr>
            <w:r>
              <w:rPr>
                <w:sz w:val="21"/>
              </w:rPr>
              <w:t>改进（仅标题）</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6"/>
              <w:ind w:left="107"/>
              <w:rPr>
                <w:rFonts w:ascii="Times New Roman"/>
                <w:sz w:val="21"/>
              </w:rPr>
            </w:pPr>
            <w:r>
              <w:rPr>
                <w:rFonts w:ascii="Times New Roman"/>
                <w:sz w:val="21"/>
              </w:rPr>
              <w:t>10.1</w:t>
            </w:r>
          </w:p>
        </w:tc>
        <w:tc>
          <w:tcPr>
            <w:tcW w:w="3686" w:type="dxa"/>
          </w:tcPr>
          <w:p>
            <w:pPr>
              <w:pStyle w:val="TableParagraph"/>
              <w:spacing w:before="22"/>
              <w:ind w:left="106"/>
              <w:rPr>
                <w:sz w:val="21"/>
              </w:rPr>
            </w:pPr>
            <w:r>
              <w:rPr>
                <w:sz w:val="21"/>
              </w:rPr>
              <w:t>总则</w:t>
            </w:r>
          </w:p>
        </w:tc>
      </w:tr>
      <w:tr>
        <w:trPr>
          <w:trHeight w:val="312" w:hRule="atLeast"/>
        </w:trPr>
        <w:tc>
          <w:tcPr>
            <w:tcW w:w="3685" w:type="dxa"/>
            <w:vMerge/>
            <w:tcBorders>
              <w:top w:val="nil"/>
            </w:tcBorders>
          </w:tcPr>
          <w:p>
            <w:pPr>
              <w:rPr>
                <w:sz w:val="2"/>
                <w:szCs w:val="2"/>
              </w:rPr>
            </w:pPr>
          </w:p>
        </w:tc>
        <w:tc>
          <w:tcPr>
            <w:tcW w:w="1101" w:type="dxa"/>
            <w:vMerge/>
            <w:tcBorders>
              <w:top w:val="nil"/>
            </w:tcBorders>
          </w:tcPr>
          <w:p>
            <w:pPr>
              <w:rPr>
                <w:sz w:val="2"/>
                <w:szCs w:val="2"/>
              </w:rPr>
            </w:pPr>
          </w:p>
        </w:tc>
        <w:tc>
          <w:tcPr>
            <w:tcW w:w="1134" w:type="dxa"/>
          </w:tcPr>
          <w:p>
            <w:pPr>
              <w:pStyle w:val="TableParagraph"/>
              <w:spacing w:before="35"/>
              <w:ind w:left="107"/>
              <w:rPr>
                <w:rFonts w:ascii="Times New Roman"/>
                <w:sz w:val="21"/>
              </w:rPr>
            </w:pPr>
            <w:r>
              <w:rPr>
                <w:rFonts w:ascii="Times New Roman"/>
                <w:sz w:val="21"/>
              </w:rPr>
              <w:t>10.3</w:t>
            </w:r>
          </w:p>
        </w:tc>
        <w:tc>
          <w:tcPr>
            <w:tcW w:w="3686" w:type="dxa"/>
          </w:tcPr>
          <w:p>
            <w:pPr>
              <w:pStyle w:val="TableParagraph"/>
              <w:spacing w:before="21"/>
              <w:ind w:left="106"/>
              <w:rPr>
                <w:sz w:val="21"/>
              </w:rPr>
            </w:pPr>
            <w:r>
              <w:rPr>
                <w:sz w:val="21"/>
              </w:rPr>
              <w:t>持续改进</w:t>
            </w:r>
          </w:p>
        </w:tc>
      </w:tr>
      <w:tr>
        <w:trPr>
          <w:trHeight w:val="935" w:hRule="atLeast"/>
        </w:trPr>
        <w:tc>
          <w:tcPr>
            <w:tcW w:w="3685" w:type="dxa"/>
          </w:tcPr>
          <w:p>
            <w:pPr>
              <w:pStyle w:val="TableParagraph"/>
              <w:spacing w:line="278" w:lineRule="auto" w:before="21"/>
              <w:ind w:right="24"/>
              <w:rPr>
                <w:sz w:val="21"/>
              </w:rPr>
            </w:pPr>
            <w:r>
              <w:rPr>
                <w:sz w:val="21"/>
              </w:rPr>
              <w:t>（资料性附录） </w:t>
            </w:r>
            <w:r>
              <w:rPr>
                <w:rFonts w:ascii="Times New Roman" w:hAnsi="Times New Roman" w:eastAsia="Times New Roman"/>
                <w:sz w:val="21"/>
              </w:rPr>
              <w:t>GB/T 28001</w:t>
            </w:r>
            <w:r>
              <w:rPr>
                <w:sz w:val="21"/>
              </w:rPr>
              <w:t>—</w:t>
            </w:r>
            <w:r>
              <w:rPr>
                <w:rFonts w:ascii="Times New Roman" w:hAnsi="Times New Roman" w:eastAsia="Times New Roman"/>
                <w:sz w:val="21"/>
              </w:rPr>
              <w:t>2011</w:t>
            </w:r>
            <w:r>
              <w:rPr>
                <w:sz w:val="21"/>
              </w:rPr>
              <w:t>、</w:t>
            </w:r>
            <w:r>
              <w:rPr>
                <w:rFonts w:ascii="Times New Roman" w:hAnsi="Times New Roman" w:eastAsia="Times New Roman"/>
                <w:sz w:val="21"/>
              </w:rPr>
              <w:t>GB/T 24001 </w:t>
            </w:r>
            <w:r>
              <w:rPr>
                <w:sz w:val="21"/>
              </w:rPr>
              <w:t>— </w:t>
            </w:r>
            <w:r>
              <w:rPr>
                <w:rFonts w:ascii="Times New Roman" w:hAnsi="Times New Roman" w:eastAsia="Times New Roman"/>
                <w:sz w:val="21"/>
              </w:rPr>
              <w:t>2004 </w:t>
            </w:r>
            <w:r>
              <w:rPr>
                <w:sz w:val="21"/>
              </w:rPr>
              <w:t>和 </w:t>
            </w:r>
            <w:r>
              <w:rPr>
                <w:rFonts w:ascii="Times New Roman" w:hAnsi="Times New Roman" w:eastAsia="Times New Roman"/>
                <w:sz w:val="21"/>
              </w:rPr>
              <w:t>GB/T 19001 </w:t>
            </w:r>
            <w:r>
              <w:rPr>
                <w:sz w:val="21"/>
              </w:rPr>
              <w:t>—</w:t>
            </w:r>
          </w:p>
          <w:p>
            <w:pPr>
              <w:pStyle w:val="TableParagraph"/>
              <w:spacing w:line="269" w:lineRule="exact"/>
              <w:rPr>
                <w:sz w:val="21"/>
              </w:rPr>
            </w:pPr>
            <w:r>
              <w:rPr>
                <w:rFonts w:ascii="Times New Roman" w:eastAsia="Times New Roman"/>
                <w:sz w:val="21"/>
              </w:rPr>
              <w:t>2008 </w:t>
            </w:r>
            <w:r>
              <w:rPr>
                <w:sz w:val="21"/>
              </w:rPr>
              <w:t>之间的对应关系</w:t>
            </w:r>
          </w:p>
        </w:tc>
        <w:tc>
          <w:tcPr>
            <w:tcW w:w="1101" w:type="dxa"/>
          </w:tcPr>
          <w:p>
            <w:pPr>
              <w:pStyle w:val="TableParagraph"/>
              <w:spacing w:before="11"/>
              <w:ind w:left="0"/>
              <w:rPr>
                <w:rFonts w:ascii="Times New Roman"/>
                <w:sz w:val="28"/>
              </w:rPr>
            </w:pPr>
          </w:p>
          <w:p>
            <w:pPr>
              <w:pStyle w:val="TableParagraph"/>
              <w:ind w:left="107"/>
              <w:rPr>
                <w:rFonts w:ascii="Times New Roman" w:eastAsia="Times New Roman"/>
                <w:sz w:val="21"/>
              </w:rPr>
            </w:pPr>
            <w:r>
              <w:rPr>
                <w:sz w:val="21"/>
              </w:rPr>
              <w:t>附录 </w:t>
            </w:r>
            <w:r>
              <w:rPr>
                <w:rFonts w:ascii="Times New Roman" w:eastAsia="Times New Roman"/>
                <w:sz w:val="21"/>
              </w:rPr>
              <w:t>A</w:t>
            </w:r>
          </w:p>
        </w:tc>
        <w:tc>
          <w:tcPr>
            <w:tcW w:w="1134" w:type="dxa"/>
          </w:tcPr>
          <w:p>
            <w:pPr>
              <w:pStyle w:val="TableParagraph"/>
              <w:spacing w:before="11"/>
              <w:ind w:left="0"/>
              <w:rPr>
                <w:rFonts w:ascii="Times New Roman"/>
                <w:sz w:val="28"/>
              </w:rPr>
            </w:pPr>
          </w:p>
          <w:p>
            <w:pPr>
              <w:pStyle w:val="TableParagraph"/>
              <w:ind w:left="357"/>
              <w:rPr>
                <w:sz w:val="21"/>
              </w:rPr>
            </w:pPr>
            <w:r>
              <w:rPr>
                <w:sz w:val="21"/>
              </w:rPr>
              <w:t>——</w:t>
            </w:r>
          </w:p>
        </w:tc>
        <w:tc>
          <w:tcPr>
            <w:tcW w:w="3686" w:type="dxa"/>
          </w:tcPr>
          <w:p>
            <w:pPr>
              <w:pStyle w:val="TableParagraph"/>
              <w:spacing w:before="11"/>
              <w:ind w:left="0"/>
              <w:rPr>
                <w:rFonts w:ascii="Times New Roman"/>
                <w:sz w:val="28"/>
              </w:rPr>
            </w:pPr>
          </w:p>
          <w:p>
            <w:pPr>
              <w:pStyle w:val="TableParagraph"/>
              <w:ind w:left="1400" w:right="1393"/>
              <w:jc w:val="center"/>
              <w:rPr>
                <w:sz w:val="21"/>
              </w:rPr>
            </w:pPr>
            <w:r>
              <w:rPr>
                <w:sz w:val="21"/>
              </w:rPr>
              <w:t>——</w:t>
            </w:r>
          </w:p>
        </w:tc>
      </w:tr>
      <w:tr>
        <w:trPr>
          <w:trHeight w:val="312" w:hRule="atLeast"/>
        </w:trPr>
        <w:tc>
          <w:tcPr>
            <w:tcW w:w="3685" w:type="dxa"/>
          </w:tcPr>
          <w:p>
            <w:pPr>
              <w:pStyle w:val="TableParagraph"/>
              <w:spacing w:before="21"/>
              <w:ind w:left="1399" w:right="1392"/>
              <w:jc w:val="center"/>
              <w:rPr>
                <w:sz w:val="21"/>
              </w:rPr>
            </w:pPr>
            <w:r>
              <w:rPr>
                <w:sz w:val="21"/>
              </w:rPr>
              <w:t>——</w:t>
            </w:r>
          </w:p>
        </w:tc>
        <w:tc>
          <w:tcPr>
            <w:tcW w:w="1101" w:type="dxa"/>
          </w:tcPr>
          <w:p>
            <w:pPr>
              <w:pStyle w:val="TableParagraph"/>
              <w:spacing w:before="21"/>
              <w:ind w:left="339"/>
              <w:rPr>
                <w:sz w:val="21"/>
              </w:rPr>
            </w:pPr>
            <w:r>
              <w:rPr>
                <w:sz w:val="21"/>
              </w:rPr>
              <w:t>——</w:t>
            </w:r>
          </w:p>
        </w:tc>
        <w:tc>
          <w:tcPr>
            <w:tcW w:w="1134" w:type="dxa"/>
          </w:tcPr>
          <w:p>
            <w:pPr>
              <w:pStyle w:val="TableParagraph"/>
              <w:spacing w:before="21"/>
              <w:ind w:left="107"/>
              <w:rPr>
                <w:rFonts w:ascii="Times New Roman" w:eastAsia="Times New Roman"/>
                <w:sz w:val="21"/>
              </w:rPr>
            </w:pPr>
            <w:r>
              <w:rPr>
                <w:sz w:val="21"/>
              </w:rPr>
              <w:t>附录 </w:t>
            </w:r>
            <w:r>
              <w:rPr>
                <w:rFonts w:ascii="Times New Roman" w:eastAsia="Times New Roman"/>
                <w:sz w:val="21"/>
              </w:rPr>
              <w:t>A</w:t>
            </w:r>
          </w:p>
        </w:tc>
        <w:tc>
          <w:tcPr>
            <w:tcW w:w="3686" w:type="dxa"/>
          </w:tcPr>
          <w:p>
            <w:pPr>
              <w:pStyle w:val="TableParagraph"/>
              <w:spacing w:before="21"/>
              <w:ind w:left="106"/>
              <w:rPr>
                <w:sz w:val="21"/>
              </w:rPr>
            </w:pPr>
            <w:r>
              <w:rPr>
                <w:sz w:val="21"/>
              </w:rPr>
              <w:t>（资料性附录） 本标准的使用指南</w:t>
            </w:r>
          </w:p>
        </w:tc>
      </w:tr>
      <w:tr>
        <w:trPr>
          <w:trHeight w:val="623" w:hRule="atLeast"/>
        </w:trPr>
        <w:tc>
          <w:tcPr>
            <w:tcW w:w="3685" w:type="dxa"/>
          </w:tcPr>
          <w:p>
            <w:pPr>
              <w:pStyle w:val="TableParagraph"/>
              <w:spacing w:before="20"/>
              <w:rPr>
                <w:sz w:val="21"/>
              </w:rPr>
            </w:pPr>
            <w:r>
              <w:rPr>
                <w:sz w:val="21"/>
              </w:rPr>
              <w:t>（资料性附录）</w:t>
            </w:r>
            <w:r>
              <w:rPr>
                <w:spacing w:val="-51"/>
                <w:sz w:val="21"/>
              </w:rPr>
              <w:t> </w:t>
            </w:r>
            <w:r>
              <w:rPr>
                <w:rFonts w:ascii="Times New Roman" w:eastAsia="Times New Roman"/>
                <w:sz w:val="21"/>
              </w:rPr>
              <w:t>GB/T 28000 </w:t>
            </w:r>
            <w:r>
              <w:rPr>
                <w:sz w:val="21"/>
              </w:rPr>
              <w:t>系列标准</w:t>
            </w:r>
          </w:p>
          <w:p>
            <w:pPr>
              <w:pStyle w:val="TableParagraph"/>
              <w:spacing w:before="43"/>
              <w:rPr>
                <w:sz w:val="21"/>
              </w:rPr>
            </w:pPr>
            <w:r>
              <w:rPr>
                <w:sz w:val="21"/>
              </w:rPr>
              <w:t>与 </w:t>
            </w:r>
            <w:r>
              <w:rPr>
                <w:rFonts w:ascii="Times New Roman" w:eastAsia="Times New Roman"/>
                <w:sz w:val="21"/>
              </w:rPr>
              <w:t>ILO-OSH:2001 </w:t>
            </w:r>
            <w:r>
              <w:rPr>
                <w:sz w:val="21"/>
              </w:rPr>
              <w:t>之间的对应关系</w:t>
            </w:r>
          </w:p>
        </w:tc>
        <w:tc>
          <w:tcPr>
            <w:tcW w:w="1101" w:type="dxa"/>
          </w:tcPr>
          <w:p>
            <w:pPr>
              <w:pStyle w:val="TableParagraph"/>
              <w:spacing w:before="176"/>
              <w:ind w:left="107"/>
              <w:rPr>
                <w:rFonts w:ascii="Times New Roman" w:eastAsia="Times New Roman"/>
                <w:sz w:val="21"/>
              </w:rPr>
            </w:pPr>
            <w:r>
              <w:rPr>
                <w:sz w:val="21"/>
              </w:rPr>
              <w:t>附录 </w:t>
            </w:r>
            <w:r>
              <w:rPr>
                <w:rFonts w:ascii="Times New Roman" w:eastAsia="Times New Roman"/>
                <w:sz w:val="21"/>
              </w:rPr>
              <w:t>B</w:t>
            </w:r>
          </w:p>
        </w:tc>
        <w:tc>
          <w:tcPr>
            <w:tcW w:w="1134" w:type="dxa"/>
          </w:tcPr>
          <w:p>
            <w:pPr>
              <w:pStyle w:val="TableParagraph"/>
              <w:spacing w:before="176"/>
              <w:ind w:left="357"/>
              <w:rPr>
                <w:sz w:val="21"/>
              </w:rPr>
            </w:pPr>
            <w:r>
              <w:rPr>
                <w:sz w:val="21"/>
              </w:rPr>
              <w:t>——</w:t>
            </w:r>
          </w:p>
        </w:tc>
        <w:tc>
          <w:tcPr>
            <w:tcW w:w="3686" w:type="dxa"/>
          </w:tcPr>
          <w:p>
            <w:pPr>
              <w:pStyle w:val="TableParagraph"/>
              <w:spacing w:before="176"/>
              <w:ind w:left="1400" w:right="1393"/>
              <w:jc w:val="center"/>
              <w:rPr>
                <w:sz w:val="21"/>
              </w:rPr>
            </w:pPr>
            <w:r>
              <w:rPr>
                <w:sz w:val="21"/>
              </w:rPr>
              <w:t>——</w:t>
            </w:r>
          </w:p>
        </w:tc>
      </w:tr>
      <w:tr>
        <w:trPr>
          <w:trHeight w:val="624" w:hRule="atLeast"/>
        </w:trPr>
        <w:tc>
          <w:tcPr>
            <w:tcW w:w="3685" w:type="dxa"/>
          </w:tcPr>
          <w:p>
            <w:pPr>
              <w:pStyle w:val="TableParagraph"/>
              <w:spacing w:before="176"/>
              <w:ind w:left="1399" w:right="1392"/>
              <w:jc w:val="center"/>
              <w:rPr>
                <w:sz w:val="21"/>
              </w:rPr>
            </w:pPr>
            <w:r>
              <w:rPr>
                <w:sz w:val="21"/>
              </w:rPr>
              <w:t>——</w:t>
            </w:r>
          </w:p>
        </w:tc>
        <w:tc>
          <w:tcPr>
            <w:tcW w:w="1101" w:type="dxa"/>
          </w:tcPr>
          <w:p>
            <w:pPr>
              <w:pStyle w:val="TableParagraph"/>
              <w:spacing w:before="176"/>
              <w:ind w:left="339"/>
              <w:rPr>
                <w:sz w:val="21"/>
              </w:rPr>
            </w:pPr>
            <w:r>
              <w:rPr>
                <w:sz w:val="21"/>
              </w:rPr>
              <w:t>——</w:t>
            </w:r>
          </w:p>
        </w:tc>
        <w:tc>
          <w:tcPr>
            <w:tcW w:w="1134" w:type="dxa"/>
          </w:tcPr>
          <w:p>
            <w:pPr>
              <w:pStyle w:val="TableParagraph"/>
              <w:spacing w:before="176"/>
              <w:ind w:left="107"/>
              <w:rPr>
                <w:rFonts w:ascii="Times New Roman" w:eastAsia="Times New Roman"/>
                <w:sz w:val="21"/>
              </w:rPr>
            </w:pPr>
            <w:r>
              <w:rPr>
                <w:sz w:val="21"/>
              </w:rPr>
              <w:t>附录 </w:t>
            </w:r>
            <w:r>
              <w:rPr>
                <w:rFonts w:ascii="Times New Roman" w:eastAsia="Times New Roman"/>
                <w:sz w:val="21"/>
              </w:rPr>
              <w:t>NA</w:t>
            </w:r>
          </w:p>
        </w:tc>
        <w:tc>
          <w:tcPr>
            <w:tcW w:w="3686" w:type="dxa"/>
          </w:tcPr>
          <w:p>
            <w:pPr>
              <w:pStyle w:val="TableParagraph"/>
              <w:spacing w:before="20"/>
              <w:ind w:left="106"/>
              <w:rPr>
                <w:rFonts w:ascii="Times New Roman" w:eastAsia="Times New Roman"/>
                <w:sz w:val="21"/>
              </w:rPr>
            </w:pPr>
            <w:r>
              <w:rPr>
                <w:sz w:val="21"/>
              </w:rPr>
              <w:t>（ 资料性附录） 本标准与 </w:t>
            </w:r>
            <w:r>
              <w:rPr>
                <w:rFonts w:ascii="Times New Roman" w:eastAsia="Times New Roman"/>
                <w:sz w:val="21"/>
              </w:rPr>
              <w:t>GB/T</w:t>
            </w:r>
          </w:p>
          <w:p>
            <w:pPr>
              <w:pStyle w:val="TableParagraph"/>
              <w:spacing w:before="43"/>
              <w:ind w:left="106"/>
              <w:rPr>
                <w:sz w:val="21"/>
              </w:rPr>
            </w:pPr>
            <w:r>
              <w:rPr>
                <w:rFonts w:ascii="Times New Roman" w:eastAsia="Times New Roman"/>
                <w:sz w:val="21"/>
              </w:rPr>
              <w:t>28001-2011 </w:t>
            </w:r>
            <w:r>
              <w:rPr>
                <w:sz w:val="21"/>
              </w:rPr>
              <w:t>之间的对应情况</w:t>
            </w:r>
          </w:p>
        </w:tc>
      </w:tr>
      <w:tr>
        <w:trPr>
          <w:trHeight w:val="312" w:hRule="atLeast"/>
        </w:trPr>
        <w:tc>
          <w:tcPr>
            <w:tcW w:w="3685" w:type="dxa"/>
          </w:tcPr>
          <w:p>
            <w:pPr>
              <w:pStyle w:val="TableParagraph"/>
              <w:spacing w:before="22"/>
              <w:ind w:left="1399" w:right="1392"/>
              <w:jc w:val="center"/>
              <w:rPr>
                <w:sz w:val="21"/>
              </w:rPr>
            </w:pPr>
            <w:r>
              <w:rPr>
                <w:sz w:val="21"/>
              </w:rPr>
              <w:t>——</w:t>
            </w:r>
          </w:p>
        </w:tc>
        <w:tc>
          <w:tcPr>
            <w:tcW w:w="1101" w:type="dxa"/>
          </w:tcPr>
          <w:p>
            <w:pPr>
              <w:pStyle w:val="TableParagraph"/>
              <w:spacing w:before="22"/>
              <w:ind w:left="107"/>
              <w:rPr>
                <w:sz w:val="21"/>
              </w:rPr>
            </w:pPr>
            <w:r>
              <w:rPr>
                <w:sz w:val="21"/>
              </w:rPr>
              <w:t>参考文献</w:t>
            </w:r>
          </w:p>
        </w:tc>
        <w:tc>
          <w:tcPr>
            <w:tcW w:w="1134" w:type="dxa"/>
          </w:tcPr>
          <w:p>
            <w:pPr>
              <w:pStyle w:val="TableParagraph"/>
              <w:spacing w:before="22"/>
              <w:ind w:left="107"/>
              <w:rPr>
                <w:sz w:val="21"/>
              </w:rPr>
            </w:pPr>
            <w:r>
              <w:rPr>
                <w:sz w:val="21"/>
              </w:rPr>
              <w:t>参考文献</w:t>
            </w:r>
          </w:p>
        </w:tc>
        <w:tc>
          <w:tcPr>
            <w:tcW w:w="3686" w:type="dxa"/>
          </w:tcPr>
          <w:p>
            <w:pPr>
              <w:pStyle w:val="TableParagraph"/>
              <w:spacing w:before="22"/>
              <w:ind w:left="1400" w:right="1393"/>
              <w:jc w:val="center"/>
              <w:rPr>
                <w:sz w:val="21"/>
              </w:rPr>
            </w:pPr>
            <w:r>
              <w:rPr>
                <w:sz w:val="21"/>
              </w:rPr>
              <w:t>——</w:t>
            </w:r>
          </w:p>
        </w:tc>
      </w:tr>
      <w:tr>
        <w:trPr>
          <w:trHeight w:val="1248" w:hRule="atLeast"/>
        </w:trPr>
        <w:tc>
          <w:tcPr>
            <w:tcW w:w="3685" w:type="dxa"/>
          </w:tcPr>
          <w:p>
            <w:pPr>
              <w:pStyle w:val="TableParagraph"/>
              <w:ind w:left="0"/>
              <w:rPr>
                <w:rFonts w:ascii="Times New Roman"/>
                <w:sz w:val="20"/>
              </w:rPr>
            </w:pPr>
          </w:p>
          <w:p>
            <w:pPr>
              <w:pStyle w:val="TableParagraph"/>
              <w:spacing w:before="6"/>
              <w:ind w:left="0"/>
              <w:rPr>
                <w:rFonts w:ascii="Times New Roman"/>
                <w:sz w:val="22"/>
              </w:rPr>
            </w:pPr>
          </w:p>
          <w:p>
            <w:pPr>
              <w:pStyle w:val="TableParagraph"/>
              <w:ind w:left="1399" w:right="1392"/>
              <w:jc w:val="center"/>
              <w:rPr>
                <w:sz w:val="21"/>
              </w:rPr>
            </w:pPr>
            <w:r>
              <w:rPr>
                <w:sz w:val="21"/>
              </w:rPr>
              <w:t>——</w:t>
            </w:r>
          </w:p>
        </w:tc>
        <w:tc>
          <w:tcPr>
            <w:tcW w:w="1101" w:type="dxa"/>
          </w:tcPr>
          <w:p>
            <w:pPr>
              <w:pStyle w:val="TableParagraph"/>
              <w:ind w:left="0"/>
              <w:rPr>
                <w:rFonts w:ascii="Times New Roman"/>
                <w:sz w:val="20"/>
              </w:rPr>
            </w:pPr>
          </w:p>
          <w:p>
            <w:pPr>
              <w:pStyle w:val="TableParagraph"/>
              <w:spacing w:before="6"/>
              <w:ind w:left="0"/>
              <w:rPr>
                <w:rFonts w:ascii="Times New Roman"/>
                <w:sz w:val="22"/>
              </w:rPr>
            </w:pPr>
          </w:p>
          <w:p>
            <w:pPr>
              <w:pStyle w:val="TableParagraph"/>
              <w:ind w:left="339"/>
              <w:rPr>
                <w:sz w:val="21"/>
              </w:rPr>
            </w:pPr>
            <w:r>
              <w:rPr>
                <w:sz w:val="21"/>
              </w:rPr>
              <w:t>——</w:t>
            </w:r>
          </w:p>
        </w:tc>
        <w:tc>
          <w:tcPr>
            <w:tcW w:w="1134" w:type="dxa"/>
          </w:tcPr>
          <w:p>
            <w:pPr>
              <w:pStyle w:val="TableParagraph"/>
              <w:spacing w:line="278" w:lineRule="auto" w:before="21"/>
              <w:ind w:left="107" w:right="97"/>
              <w:jc w:val="both"/>
              <w:rPr>
                <w:sz w:val="21"/>
              </w:rPr>
            </w:pPr>
            <w:r>
              <w:rPr>
                <w:sz w:val="21"/>
              </w:rPr>
              <w:t>按英文字母顺序排列的术语</w:t>
            </w:r>
          </w:p>
          <w:p>
            <w:pPr>
              <w:pStyle w:val="TableParagraph"/>
              <w:spacing w:line="269" w:lineRule="exact"/>
              <w:ind w:left="107"/>
              <w:rPr>
                <w:sz w:val="21"/>
              </w:rPr>
            </w:pPr>
            <w:r>
              <w:rPr>
                <w:sz w:val="21"/>
              </w:rPr>
              <w:t>索引</w:t>
            </w:r>
          </w:p>
        </w:tc>
        <w:tc>
          <w:tcPr>
            <w:tcW w:w="3686" w:type="dxa"/>
          </w:tcPr>
          <w:p>
            <w:pPr>
              <w:pStyle w:val="TableParagraph"/>
              <w:ind w:left="0"/>
              <w:rPr>
                <w:rFonts w:ascii="Times New Roman"/>
                <w:sz w:val="20"/>
              </w:rPr>
            </w:pPr>
          </w:p>
          <w:p>
            <w:pPr>
              <w:pStyle w:val="TableParagraph"/>
              <w:spacing w:before="6"/>
              <w:ind w:left="0"/>
              <w:rPr>
                <w:rFonts w:ascii="Times New Roman"/>
                <w:sz w:val="22"/>
              </w:rPr>
            </w:pPr>
          </w:p>
          <w:p>
            <w:pPr>
              <w:pStyle w:val="TableParagraph"/>
              <w:ind w:left="1400" w:right="1393"/>
              <w:jc w:val="center"/>
              <w:rPr>
                <w:sz w:val="21"/>
              </w:rPr>
            </w:pPr>
            <w:r>
              <w:rPr>
                <w:sz w:val="21"/>
              </w:rPr>
              <w:t>——</w:t>
            </w:r>
          </w:p>
        </w:tc>
      </w:tr>
      <w:tr>
        <w:trPr>
          <w:trHeight w:val="1247" w:hRule="atLeast"/>
        </w:trPr>
        <w:tc>
          <w:tcPr>
            <w:tcW w:w="3685" w:type="dxa"/>
          </w:tcPr>
          <w:p>
            <w:pPr>
              <w:pStyle w:val="TableParagraph"/>
              <w:ind w:left="0"/>
              <w:rPr>
                <w:rFonts w:ascii="Times New Roman"/>
                <w:sz w:val="20"/>
              </w:rPr>
            </w:pPr>
          </w:p>
          <w:p>
            <w:pPr>
              <w:pStyle w:val="TableParagraph"/>
              <w:spacing w:before="6"/>
              <w:ind w:left="0"/>
              <w:rPr>
                <w:rFonts w:ascii="Times New Roman"/>
                <w:sz w:val="22"/>
              </w:rPr>
            </w:pPr>
          </w:p>
          <w:p>
            <w:pPr>
              <w:pStyle w:val="TableParagraph"/>
              <w:ind w:left="1399" w:right="1392"/>
              <w:jc w:val="center"/>
              <w:rPr>
                <w:sz w:val="21"/>
              </w:rPr>
            </w:pPr>
            <w:r>
              <w:rPr>
                <w:sz w:val="21"/>
              </w:rPr>
              <w:t>——</w:t>
            </w:r>
          </w:p>
        </w:tc>
        <w:tc>
          <w:tcPr>
            <w:tcW w:w="1101" w:type="dxa"/>
          </w:tcPr>
          <w:p>
            <w:pPr>
              <w:pStyle w:val="TableParagraph"/>
              <w:ind w:left="0"/>
              <w:rPr>
                <w:rFonts w:ascii="Times New Roman"/>
                <w:sz w:val="20"/>
              </w:rPr>
            </w:pPr>
          </w:p>
          <w:p>
            <w:pPr>
              <w:pStyle w:val="TableParagraph"/>
              <w:spacing w:before="6"/>
              <w:ind w:left="0"/>
              <w:rPr>
                <w:rFonts w:ascii="Times New Roman"/>
                <w:sz w:val="22"/>
              </w:rPr>
            </w:pPr>
          </w:p>
          <w:p>
            <w:pPr>
              <w:pStyle w:val="TableParagraph"/>
              <w:ind w:left="339"/>
              <w:rPr>
                <w:sz w:val="21"/>
              </w:rPr>
            </w:pPr>
            <w:r>
              <w:rPr>
                <w:sz w:val="21"/>
              </w:rPr>
              <w:t>——</w:t>
            </w:r>
          </w:p>
        </w:tc>
        <w:tc>
          <w:tcPr>
            <w:tcW w:w="1134" w:type="dxa"/>
          </w:tcPr>
          <w:p>
            <w:pPr>
              <w:pStyle w:val="TableParagraph"/>
              <w:spacing w:line="278" w:lineRule="auto" w:before="21"/>
              <w:ind w:left="107" w:right="97"/>
              <w:jc w:val="both"/>
              <w:rPr>
                <w:sz w:val="21"/>
              </w:rPr>
            </w:pPr>
            <w:r>
              <w:rPr>
                <w:spacing w:val="15"/>
                <w:sz w:val="21"/>
              </w:rPr>
              <w:t>按汉语拼音字母顺</w:t>
            </w:r>
            <w:r>
              <w:rPr>
                <w:spacing w:val="15"/>
                <w:w w:val="95"/>
                <w:sz w:val="21"/>
              </w:rPr>
              <w:t>序排列的</w:t>
            </w:r>
          </w:p>
          <w:p>
            <w:pPr>
              <w:pStyle w:val="TableParagraph"/>
              <w:spacing w:line="269" w:lineRule="exact"/>
              <w:ind w:left="107"/>
              <w:rPr>
                <w:sz w:val="21"/>
              </w:rPr>
            </w:pPr>
            <w:r>
              <w:rPr>
                <w:w w:val="95"/>
                <w:sz w:val="21"/>
              </w:rPr>
              <w:t>术语索引</w:t>
            </w:r>
          </w:p>
        </w:tc>
        <w:tc>
          <w:tcPr>
            <w:tcW w:w="3686" w:type="dxa"/>
          </w:tcPr>
          <w:p>
            <w:pPr>
              <w:pStyle w:val="TableParagraph"/>
              <w:ind w:left="0"/>
              <w:rPr>
                <w:rFonts w:ascii="Times New Roman"/>
                <w:sz w:val="20"/>
              </w:rPr>
            </w:pPr>
          </w:p>
          <w:p>
            <w:pPr>
              <w:pStyle w:val="TableParagraph"/>
              <w:spacing w:before="6"/>
              <w:ind w:left="0"/>
              <w:rPr>
                <w:rFonts w:ascii="Times New Roman"/>
                <w:sz w:val="22"/>
              </w:rPr>
            </w:pPr>
          </w:p>
          <w:p>
            <w:pPr>
              <w:pStyle w:val="TableParagraph"/>
              <w:ind w:left="1400" w:right="1393"/>
              <w:jc w:val="center"/>
              <w:rPr>
                <w:sz w:val="21"/>
              </w:rPr>
            </w:pPr>
            <w:r>
              <w:rPr>
                <w:sz w:val="21"/>
              </w:rPr>
              <w:t>——</w:t>
            </w:r>
          </w:p>
        </w:tc>
      </w:tr>
    </w:tbl>
    <w:p>
      <w:pPr>
        <w:spacing w:after="0"/>
        <w:jc w:val="center"/>
        <w:rPr>
          <w:sz w:val="21"/>
        </w:rPr>
        <w:sectPr>
          <w:pgSz w:w="11910" w:h="16840"/>
          <w:pgMar w:header="1442" w:footer="850" w:top="1660" w:bottom="1040" w:left="1140" w:right="740"/>
        </w:sect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3"/>
        </w:rPr>
      </w:pPr>
    </w:p>
    <w:p>
      <w:pPr>
        <w:pStyle w:val="BodyText"/>
        <w:spacing w:before="70"/>
        <w:ind w:left="2215" w:right="2445"/>
        <w:jc w:val="center"/>
        <w:rPr>
          <w:rFonts w:ascii="黑体" w:eastAsia="黑体" w:hint="eastAsia"/>
        </w:rPr>
      </w:pPr>
      <w:bookmarkStart w:name="按英文字母顺序排列的术语索引" w:id="270"/>
      <w:bookmarkEnd w:id="270"/>
      <w:r>
        <w:rPr/>
      </w:r>
      <w:bookmarkStart w:name="_bookmark60" w:id="271"/>
      <w:bookmarkEnd w:id="271"/>
      <w:r>
        <w:rPr/>
      </w:r>
      <w:r>
        <w:rPr>
          <w:rFonts w:ascii="黑体" w:eastAsia="黑体" w:hint="eastAsia"/>
          <w:w w:val="95"/>
        </w:rPr>
        <w:t>参考文献</w:t>
      </w:r>
    </w:p>
    <w:p>
      <w:pPr>
        <w:pStyle w:val="BodyText"/>
        <w:spacing w:before="9"/>
        <w:rPr>
          <w:rFonts w:ascii="黑体"/>
          <w:sz w:val="20"/>
        </w:rPr>
      </w:pPr>
    </w:p>
    <w:p>
      <w:pPr>
        <w:pStyle w:val="ListParagraph"/>
        <w:numPr>
          <w:ilvl w:val="0"/>
          <w:numId w:val="64"/>
        </w:numPr>
        <w:tabs>
          <w:tab w:pos="576" w:val="left" w:leader="none"/>
        </w:tabs>
        <w:spacing w:line="240" w:lineRule="auto" w:before="1" w:after="0"/>
        <w:ind w:left="576" w:right="0" w:hanging="298"/>
        <w:jc w:val="left"/>
        <w:rPr>
          <w:sz w:val="21"/>
        </w:rPr>
      </w:pPr>
      <w:r>
        <w:rPr>
          <w:rFonts w:ascii="Times New Roman" w:hAnsi="Times New Roman" w:eastAsia="Times New Roman"/>
          <w:sz w:val="21"/>
        </w:rPr>
        <w:t>GB/T</w:t>
      </w:r>
      <w:r>
        <w:rPr>
          <w:rFonts w:ascii="Times New Roman" w:hAnsi="Times New Roman" w:eastAsia="Times New Roman"/>
          <w:spacing w:val="-2"/>
          <w:sz w:val="21"/>
        </w:rPr>
        <w:t> </w:t>
      </w:r>
      <w:r>
        <w:rPr>
          <w:rFonts w:ascii="Times New Roman" w:hAnsi="Times New Roman" w:eastAsia="Times New Roman"/>
          <w:sz w:val="21"/>
        </w:rPr>
        <w:t>19000—2016</w:t>
      </w:r>
      <w:r>
        <w:rPr>
          <w:rFonts w:ascii="Times New Roman" w:hAnsi="Times New Roman" w:eastAsia="Times New Roman"/>
          <w:spacing w:val="45"/>
          <w:sz w:val="21"/>
        </w:rPr>
        <w:t> </w:t>
      </w:r>
      <w:r>
        <w:rPr>
          <w:spacing w:val="-1"/>
          <w:sz w:val="21"/>
        </w:rPr>
        <w:t>质量管理体系 基础和术语</w:t>
      </w:r>
    </w:p>
    <w:p>
      <w:pPr>
        <w:pStyle w:val="ListParagraph"/>
        <w:numPr>
          <w:ilvl w:val="0"/>
          <w:numId w:val="64"/>
        </w:numPr>
        <w:tabs>
          <w:tab w:pos="576" w:val="left" w:leader="none"/>
        </w:tabs>
        <w:spacing w:line="240" w:lineRule="auto" w:before="88" w:after="0"/>
        <w:ind w:left="576" w:right="0" w:hanging="298"/>
        <w:jc w:val="left"/>
        <w:rPr>
          <w:sz w:val="21"/>
        </w:rPr>
      </w:pPr>
      <w:r>
        <w:rPr>
          <w:rFonts w:ascii="Times New Roman" w:eastAsia="Times New Roman"/>
          <w:sz w:val="21"/>
        </w:rPr>
        <w:t>GB/T</w:t>
      </w:r>
      <w:r>
        <w:rPr>
          <w:rFonts w:ascii="Times New Roman" w:eastAsia="Times New Roman"/>
          <w:spacing w:val="1"/>
          <w:sz w:val="21"/>
        </w:rPr>
        <w:t> </w:t>
      </w:r>
      <w:r>
        <w:rPr>
          <w:rFonts w:ascii="Times New Roman" w:eastAsia="Times New Roman"/>
          <w:sz w:val="21"/>
        </w:rPr>
        <w:t>19001</w:t>
      </w:r>
      <w:r>
        <w:rPr>
          <w:rFonts w:ascii="Times New Roman" w:eastAsia="Times New Roman"/>
          <w:spacing w:val="52"/>
          <w:sz w:val="21"/>
        </w:rPr>
        <w:t> </w:t>
      </w:r>
      <w:r>
        <w:rPr>
          <w:sz w:val="21"/>
        </w:rPr>
        <w:t>质量管理体系 要求</w:t>
      </w:r>
    </w:p>
    <w:p>
      <w:pPr>
        <w:pStyle w:val="ListParagraph"/>
        <w:numPr>
          <w:ilvl w:val="0"/>
          <w:numId w:val="64"/>
        </w:numPr>
        <w:tabs>
          <w:tab w:pos="576" w:val="left" w:leader="none"/>
        </w:tabs>
        <w:spacing w:line="240" w:lineRule="auto" w:before="89" w:after="0"/>
        <w:ind w:left="576" w:right="0" w:hanging="298"/>
        <w:jc w:val="left"/>
        <w:rPr>
          <w:sz w:val="21"/>
        </w:rPr>
      </w:pPr>
      <w:r>
        <w:rPr>
          <w:rFonts w:ascii="Times New Roman" w:eastAsia="Times New Roman"/>
          <w:sz w:val="21"/>
        </w:rPr>
        <w:t>GB/T</w:t>
      </w:r>
      <w:r>
        <w:rPr>
          <w:rFonts w:ascii="Times New Roman" w:eastAsia="Times New Roman"/>
          <w:spacing w:val="1"/>
          <w:sz w:val="21"/>
        </w:rPr>
        <w:t> </w:t>
      </w:r>
      <w:r>
        <w:rPr>
          <w:rFonts w:ascii="Times New Roman" w:eastAsia="Times New Roman"/>
          <w:sz w:val="21"/>
        </w:rPr>
        <w:t>19011</w:t>
      </w:r>
      <w:r>
        <w:rPr>
          <w:rFonts w:ascii="Times New Roman" w:eastAsia="Times New Roman"/>
          <w:spacing w:val="52"/>
          <w:sz w:val="21"/>
        </w:rPr>
        <w:t> </w:t>
      </w:r>
      <w:r>
        <w:rPr>
          <w:sz w:val="21"/>
        </w:rPr>
        <w:t>管理体系审核指南</w:t>
      </w:r>
    </w:p>
    <w:p>
      <w:pPr>
        <w:pStyle w:val="BodyText"/>
        <w:spacing w:before="91"/>
        <w:ind w:left="278"/>
      </w:pPr>
      <w:r>
        <w:rPr>
          <w:rFonts w:ascii="Times New Roman" w:hAnsi="Times New Roman" w:eastAsia="Times New Roman"/>
        </w:rPr>
        <w:t>[4</w:t>
      </w:r>
      <w:r>
        <w:rPr>
          <w:rFonts w:ascii="Times New Roman" w:hAnsi="Times New Roman" w:eastAsia="Times New Roman"/>
          <w:spacing w:val="-1"/>
        </w:rPr>
        <w:t>] </w:t>
      </w:r>
      <w:r>
        <w:rPr>
          <w:rFonts w:ascii="Times New Roman" w:hAnsi="Times New Roman" w:eastAsia="Times New Roman"/>
        </w:rPr>
        <w:t>GB/T 23694</w:t>
      </w:r>
      <w:r>
        <w:rPr/>
        <w:t>—</w:t>
      </w:r>
      <w:r>
        <w:rPr>
          <w:rFonts w:ascii="Times New Roman" w:hAnsi="Times New Roman" w:eastAsia="Times New Roman"/>
        </w:rPr>
        <w:t>2013</w:t>
      </w:r>
      <w:r>
        <w:rPr>
          <w:rFonts w:ascii="Times New Roman" w:hAnsi="Times New Roman" w:eastAsia="Times New Roman"/>
          <w:spacing w:val="52"/>
        </w:rPr>
        <w:t> </w:t>
      </w:r>
      <w:r>
        <w:rPr/>
        <w:t>风险管理 术语</w:t>
      </w:r>
    </w:p>
    <w:p>
      <w:pPr>
        <w:pStyle w:val="ListParagraph"/>
        <w:numPr>
          <w:ilvl w:val="0"/>
          <w:numId w:val="65"/>
        </w:numPr>
        <w:tabs>
          <w:tab w:pos="576" w:val="left" w:leader="none"/>
        </w:tabs>
        <w:spacing w:line="240" w:lineRule="auto" w:before="88" w:after="0"/>
        <w:ind w:left="576" w:right="0" w:hanging="298"/>
        <w:jc w:val="left"/>
        <w:rPr>
          <w:sz w:val="21"/>
        </w:rPr>
      </w:pPr>
      <w:r>
        <w:rPr>
          <w:rFonts w:ascii="Times New Roman" w:eastAsia="Times New Roman"/>
          <w:sz w:val="21"/>
        </w:rPr>
        <w:t>GB/T</w:t>
      </w:r>
      <w:r>
        <w:rPr>
          <w:rFonts w:ascii="Times New Roman" w:eastAsia="Times New Roman"/>
          <w:spacing w:val="1"/>
          <w:sz w:val="21"/>
        </w:rPr>
        <w:t> </w:t>
      </w:r>
      <w:r>
        <w:rPr>
          <w:rFonts w:ascii="Times New Roman" w:eastAsia="Times New Roman"/>
          <w:sz w:val="21"/>
        </w:rPr>
        <w:t>24001</w:t>
      </w:r>
      <w:r>
        <w:rPr>
          <w:rFonts w:ascii="Times New Roman" w:eastAsia="Times New Roman"/>
          <w:spacing w:val="52"/>
          <w:sz w:val="21"/>
        </w:rPr>
        <w:t> </w:t>
      </w:r>
      <w:r>
        <w:rPr>
          <w:sz w:val="21"/>
        </w:rPr>
        <w:t>环境管理体系 要求及使用指南</w:t>
      </w:r>
    </w:p>
    <w:p>
      <w:pPr>
        <w:pStyle w:val="ListParagraph"/>
        <w:numPr>
          <w:ilvl w:val="0"/>
          <w:numId w:val="65"/>
        </w:numPr>
        <w:tabs>
          <w:tab w:pos="576" w:val="left" w:leader="none"/>
        </w:tabs>
        <w:spacing w:line="240" w:lineRule="auto" w:before="91" w:after="0"/>
        <w:ind w:left="576" w:right="0" w:hanging="298"/>
        <w:jc w:val="left"/>
        <w:rPr>
          <w:sz w:val="21"/>
        </w:rPr>
      </w:pPr>
      <w:r>
        <w:rPr>
          <w:rFonts w:ascii="Times New Roman" w:eastAsia="Times New Roman"/>
          <w:sz w:val="21"/>
        </w:rPr>
        <w:t>GB/T</w:t>
      </w:r>
      <w:r>
        <w:rPr>
          <w:rFonts w:ascii="Times New Roman" w:eastAsia="Times New Roman"/>
          <w:spacing w:val="1"/>
          <w:sz w:val="21"/>
        </w:rPr>
        <w:t> </w:t>
      </w:r>
      <w:r>
        <w:rPr>
          <w:rFonts w:ascii="Times New Roman" w:eastAsia="Times New Roman"/>
          <w:sz w:val="21"/>
        </w:rPr>
        <w:t>27921</w:t>
      </w:r>
      <w:r>
        <w:rPr>
          <w:rFonts w:ascii="Times New Roman" w:eastAsia="Times New Roman"/>
          <w:spacing w:val="52"/>
          <w:sz w:val="21"/>
        </w:rPr>
        <w:t> </w:t>
      </w:r>
      <w:r>
        <w:rPr>
          <w:sz w:val="21"/>
        </w:rPr>
        <w:t>风险管理 风险评估技术</w:t>
      </w:r>
    </w:p>
    <w:p>
      <w:pPr>
        <w:pStyle w:val="ListParagraph"/>
        <w:numPr>
          <w:ilvl w:val="0"/>
          <w:numId w:val="65"/>
        </w:numPr>
        <w:tabs>
          <w:tab w:pos="576" w:val="left" w:leader="none"/>
        </w:tabs>
        <w:spacing w:line="240" w:lineRule="auto" w:before="89" w:after="0"/>
        <w:ind w:left="576" w:right="0" w:hanging="298"/>
        <w:jc w:val="left"/>
        <w:rPr>
          <w:sz w:val="21"/>
        </w:rPr>
      </w:pPr>
      <w:r>
        <w:rPr>
          <w:rFonts w:ascii="Times New Roman" w:eastAsia="Times New Roman"/>
          <w:sz w:val="21"/>
        </w:rPr>
        <w:t>GB/T</w:t>
      </w:r>
      <w:r>
        <w:rPr>
          <w:rFonts w:ascii="Times New Roman" w:eastAsia="Times New Roman"/>
          <w:spacing w:val="1"/>
          <w:sz w:val="21"/>
        </w:rPr>
        <w:t> </w:t>
      </w:r>
      <w:r>
        <w:rPr>
          <w:rFonts w:ascii="Times New Roman" w:eastAsia="Times New Roman"/>
          <w:sz w:val="21"/>
        </w:rPr>
        <w:t>36000</w:t>
      </w:r>
      <w:r>
        <w:rPr>
          <w:rFonts w:ascii="Times New Roman" w:eastAsia="Times New Roman"/>
          <w:spacing w:val="52"/>
          <w:sz w:val="21"/>
        </w:rPr>
        <w:t> </w:t>
      </w:r>
      <w:r>
        <w:rPr>
          <w:sz w:val="21"/>
        </w:rPr>
        <w:t>社会责任指南</w:t>
      </w:r>
    </w:p>
    <w:p>
      <w:pPr>
        <w:pStyle w:val="ListParagraph"/>
        <w:numPr>
          <w:ilvl w:val="0"/>
          <w:numId w:val="65"/>
        </w:numPr>
        <w:tabs>
          <w:tab w:pos="576" w:val="left" w:leader="none"/>
        </w:tabs>
        <w:spacing w:line="240" w:lineRule="auto" w:before="104" w:after="0"/>
        <w:ind w:left="576" w:right="0" w:hanging="298"/>
        <w:jc w:val="left"/>
        <w:rPr>
          <w:rFonts w:ascii="Times New Roman" w:hAnsi="Times New Roman"/>
          <w:sz w:val="21"/>
        </w:rPr>
      </w:pPr>
      <w:r>
        <w:rPr>
          <w:rFonts w:ascii="Times New Roman" w:hAnsi="Times New Roman"/>
          <w:sz w:val="21"/>
        </w:rPr>
        <w:t>ISO 20400 Sustainable procurement—</w:t>
      </w:r>
      <w:r>
        <w:rPr>
          <w:rFonts w:ascii="Times New Roman" w:hAnsi="Times New Roman"/>
          <w:spacing w:val="3"/>
          <w:sz w:val="21"/>
        </w:rPr>
        <w:t> </w:t>
      </w:r>
      <w:r>
        <w:rPr>
          <w:rFonts w:ascii="Times New Roman" w:hAnsi="Times New Roman"/>
          <w:sz w:val="21"/>
        </w:rPr>
        <w:t>Guidance</w:t>
      </w:r>
    </w:p>
    <w:p>
      <w:pPr>
        <w:pStyle w:val="ListParagraph"/>
        <w:numPr>
          <w:ilvl w:val="0"/>
          <w:numId w:val="65"/>
        </w:numPr>
        <w:tabs>
          <w:tab w:pos="576" w:val="left" w:leader="none"/>
        </w:tabs>
        <w:spacing w:line="240" w:lineRule="auto" w:before="117" w:after="0"/>
        <w:ind w:left="576" w:right="0" w:hanging="298"/>
        <w:jc w:val="left"/>
        <w:rPr>
          <w:rFonts w:ascii="Times New Roman" w:hAnsi="Times New Roman"/>
          <w:sz w:val="21"/>
        </w:rPr>
      </w:pPr>
      <w:r>
        <w:rPr>
          <w:rFonts w:ascii="Times New Roman" w:hAnsi="Times New Roman"/>
          <w:sz w:val="21"/>
        </w:rPr>
        <w:t>ISO 31000 Risk management — Principles and</w:t>
      </w:r>
      <w:r>
        <w:rPr>
          <w:rFonts w:ascii="Times New Roman" w:hAnsi="Times New Roman"/>
          <w:spacing w:val="1"/>
          <w:sz w:val="21"/>
        </w:rPr>
        <w:t> </w:t>
      </w:r>
      <w:r>
        <w:rPr>
          <w:rFonts w:ascii="Times New Roman" w:hAnsi="Times New Roman"/>
          <w:sz w:val="21"/>
        </w:rPr>
        <w:t>guidelines</w:t>
      </w:r>
    </w:p>
    <w:p>
      <w:pPr>
        <w:pStyle w:val="ListParagraph"/>
        <w:numPr>
          <w:ilvl w:val="0"/>
          <w:numId w:val="65"/>
        </w:numPr>
        <w:tabs>
          <w:tab w:pos="680" w:val="left" w:leader="none"/>
        </w:tabs>
        <w:spacing w:line="240" w:lineRule="auto" w:before="118" w:after="0"/>
        <w:ind w:left="679" w:right="0" w:hanging="402"/>
        <w:jc w:val="left"/>
        <w:rPr>
          <w:rFonts w:ascii="Times New Roman"/>
          <w:sz w:val="21"/>
        </w:rPr>
      </w:pPr>
      <w:r>
        <w:rPr>
          <w:rFonts w:ascii="Times New Roman"/>
          <w:sz w:val="21"/>
        </w:rPr>
        <w:t>ISO 37500 Guidance on</w:t>
      </w:r>
      <w:r>
        <w:rPr>
          <w:rFonts w:ascii="Times New Roman"/>
          <w:spacing w:val="-1"/>
          <w:sz w:val="21"/>
        </w:rPr>
        <w:t> </w:t>
      </w:r>
      <w:r>
        <w:rPr>
          <w:rFonts w:ascii="Times New Roman"/>
          <w:sz w:val="21"/>
        </w:rPr>
        <w:t>outsourcing</w:t>
      </w:r>
    </w:p>
    <w:p>
      <w:pPr>
        <w:pStyle w:val="ListParagraph"/>
        <w:numPr>
          <w:ilvl w:val="0"/>
          <w:numId w:val="65"/>
        </w:numPr>
        <w:tabs>
          <w:tab w:pos="680" w:val="left" w:leader="none"/>
        </w:tabs>
        <w:spacing w:line="240" w:lineRule="auto" w:before="119" w:after="0"/>
        <w:ind w:left="679" w:right="0" w:hanging="402"/>
        <w:jc w:val="left"/>
        <w:rPr>
          <w:rFonts w:ascii="Times New Roman" w:hAnsi="Times New Roman"/>
          <w:sz w:val="21"/>
        </w:rPr>
      </w:pPr>
      <w:r>
        <w:rPr>
          <w:rFonts w:ascii="Times New Roman" w:hAnsi="Times New Roman"/>
          <w:sz w:val="21"/>
        </w:rPr>
        <w:t>ISO 39001 Road traffic safety (RTS) management systems — Requirements with guidance for</w:t>
      </w:r>
      <w:r>
        <w:rPr>
          <w:rFonts w:ascii="Times New Roman" w:hAnsi="Times New Roman"/>
          <w:spacing w:val="-8"/>
          <w:sz w:val="21"/>
        </w:rPr>
        <w:t> </w:t>
      </w:r>
      <w:r>
        <w:rPr>
          <w:rFonts w:ascii="Times New Roman" w:hAnsi="Times New Roman"/>
          <w:sz w:val="21"/>
        </w:rPr>
        <w:t>use</w:t>
      </w:r>
    </w:p>
    <w:p>
      <w:pPr>
        <w:pStyle w:val="ListParagraph"/>
        <w:numPr>
          <w:ilvl w:val="0"/>
          <w:numId w:val="65"/>
        </w:numPr>
        <w:tabs>
          <w:tab w:pos="680" w:val="left" w:leader="none"/>
        </w:tabs>
        <w:spacing w:line="326" w:lineRule="auto" w:before="102" w:after="0"/>
        <w:ind w:left="703" w:right="1102" w:hanging="425"/>
        <w:jc w:val="left"/>
        <w:rPr>
          <w:rFonts w:ascii="Times New Roman" w:eastAsia="Times New Roman"/>
          <w:sz w:val="21"/>
        </w:rPr>
      </w:pPr>
      <w:r>
        <w:rPr>
          <w:rFonts w:ascii="Times New Roman" w:eastAsia="Times New Roman"/>
          <w:sz w:val="21"/>
        </w:rPr>
        <w:t>ILO. Guidelines on occupational safety and health management systems</w:t>
      </w:r>
      <w:r>
        <w:rPr>
          <w:sz w:val="21"/>
        </w:rPr>
        <w:t>，</w:t>
      </w:r>
      <w:r>
        <w:rPr>
          <w:rFonts w:ascii="Times New Roman" w:eastAsia="Times New Roman"/>
          <w:sz w:val="21"/>
        </w:rPr>
        <w:t>ILO-OSH 2001. 2</w:t>
      </w:r>
      <w:r>
        <w:rPr>
          <w:rFonts w:ascii="Times New Roman" w:eastAsia="Times New Roman"/>
          <w:position w:val="7"/>
          <w:sz w:val="13"/>
        </w:rPr>
        <w:t>nd </w:t>
      </w:r>
      <w:r>
        <w:rPr>
          <w:rFonts w:ascii="Times New Roman" w:eastAsia="Times New Roman"/>
          <w:sz w:val="21"/>
        </w:rPr>
        <w:t>ed. International Labour Office</w:t>
      </w:r>
      <w:r>
        <w:rPr>
          <w:sz w:val="21"/>
        </w:rPr>
        <w:t>，</w:t>
      </w:r>
      <w:r>
        <w:rPr>
          <w:rFonts w:ascii="Times New Roman" w:eastAsia="Times New Roman"/>
          <w:sz w:val="21"/>
        </w:rPr>
        <w:t>Geneva</w:t>
      </w:r>
      <w:r>
        <w:rPr>
          <w:sz w:val="21"/>
        </w:rPr>
        <w:t>，</w:t>
      </w:r>
      <w:r>
        <w:rPr>
          <w:rFonts w:ascii="Times New Roman" w:eastAsia="Times New Roman"/>
          <w:sz w:val="21"/>
        </w:rPr>
        <w:t>2009. Available at:</w:t>
      </w:r>
      <w:hyperlink r:id="rId23">
        <w:r>
          <w:rPr>
            <w:rFonts w:ascii="Times New Roman" w:eastAsia="Times New Roman"/>
            <w:sz w:val="21"/>
          </w:rPr>
          <w:t> http://www.ilo.org/safework/info/standards-and-instruments/WCMS_107727/lang--en/index.htm</w:t>
        </w:r>
      </w:hyperlink>
    </w:p>
    <w:p>
      <w:pPr>
        <w:pStyle w:val="ListParagraph"/>
        <w:numPr>
          <w:ilvl w:val="0"/>
          <w:numId w:val="65"/>
        </w:numPr>
        <w:tabs>
          <w:tab w:pos="680" w:val="left" w:leader="none"/>
        </w:tabs>
        <w:spacing w:line="319" w:lineRule="auto" w:before="15" w:after="0"/>
        <w:ind w:left="703" w:right="527" w:hanging="425"/>
        <w:jc w:val="left"/>
        <w:rPr>
          <w:sz w:val="21"/>
        </w:rPr>
      </w:pPr>
      <w:r>
        <w:rPr>
          <w:rFonts w:ascii="Times New Roman" w:hAnsi="Times New Roman" w:eastAsia="Times New Roman"/>
          <w:sz w:val="21"/>
        </w:rPr>
        <w:t>ILO. International Labour Standards</w:t>
      </w:r>
      <w:r>
        <w:rPr>
          <w:sz w:val="21"/>
        </w:rPr>
        <w:t>（</w:t>
      </w:r>
      <w:r>
        <w:rPr>
          <w:rFonts w:ascii="Times New Roman" w:hAnsi="Times New Roman" w:eastAsia="Times New Roman"/>
          <w:sz w:val="21"/>
        </w:rPr>
        <w:t>including those on occupational safety and health</w:t>
      </w:r>
      <w:r>
        <w:rPr>
          <w:sz w:val="21"/>
        </w:rPr>
        <w:t>）</w:t>
      </w:r>
      <w:r>
        <w:rPr>
          <w:rFonts w:ascii="Times New Roman" w:hAnsi="Times New Roman" w:eastAsia="Times New Roman"/>
          <w:sz w:val="21"/>
        </w:rPr>
        <w:t>. International Labour Office</w:t>
      </w:r>
      <w:r>
        <w:rPr>
          <w:sz w:val="21"/>
        </w:rPr>
        <w:t>，</w:t>
      </w:r>
      <w:r>
        <w:rPr>
          <w:rFonts w:ascii="Times New Roman" w:hAnsi="Times New Roman" w:eastAsia="Times New Roman"/>
          <w:sz w:val="21"/>
        </w:rPr>
        <w:t>Geneva. Available at: </w:t>
      </w:r>
      <w:hyperlink r:id="rId24">
        <w:r>
          <w:rPr>
            <w:rFonts w:ascii="Times New Roman" w:hAnsi="Times New Roman" w:eastAsia="Times New Roman"/>
            <w:sz w:val="21"/>
          </w:rPr>
          <w:t>http://www.ilo.org/normlex</w:t>
        </w:r>
      </w:hyperlink>
      <w:r>
        <w:rPr>
          <w:sz w:val="21"/>
        </w:rPr>
        <w:t>（</w:t>
      </w:r>
      <w:r>
        <w:rPr>
          <w:rFonts w:ascii="Times New Roman" w:hAnsi="Times New Roman" w:eastAsia="Times New Roman"/>
          <w:sz w:val="21"/>
        </w:rPr>
        <w:t>click on “instruments”, then “Conventions and Recommendations by</w:t>
      </w:r>
      <w:r>
        <w:rPr>
          <w:rFonts w:ascii="Times New Roman" w:hAnsi="Times New Roman" w:eastAsia="Times New Roman"/>
          <w:spacing w:val="-1"/>
          <w:sz w:val="21"/>
        </w:rPr>
        <w:t> </w:t>
      </w:r>
      <w:r>
        <w:rPr>
          <w:rFonts w:ascii="Times New Roman" w:hAnsi="Times New Roman" w:eastAsia="Times New Roman"/>
          <w:sz w:val="21"/>
        </w:rPr>
        <w:t>subject”</w:t>
      </w:r>
      <w:r>
        <w:rPr>
          <w:sz w:val="21"/>
        </w:rPr>
        <w:t>）</w:t>
      </w:r>
    </w:p>
    <w:p>
      <w:pPr>
        <w:spacing w:after="0" w:line="319" w:lineRule="auto"/>
        <w:jc w:val="left"/>
        <w:rPr>
          <w:sz w:val="21"/>
        </w:rPr>
        <w:sectPr>
          <w:pgSz w:w="11910" w:h="16840"/>
          <w:pgMar w:header="1442" w:footer="850" w:top="1660" w:bottom="1040" w:left="1140" w:right="740"/>
        </w:sectPr>
      </w:pPr>
    </w:p>
    <w:p>
      <w:pPr>
        <w:pStyle w:val="BodyText"/>
        <w:spacing w:before="0"/>
        <w:rPr>
          <w:sz w:val="20"/>
        </w:rPr>
      </w:pPr>
    </w:p>
    <w:p>
      <w:pPr>
        <w:pStyle w:val="BodyText"/>
        <w:spacing w:before="0"/>
        <w:rPr>
          <w:sz w:val="20"/>
        </w:rPr>
      </w:pPr>
    </w:p>
    <w:p>
      <w:pPr>
        <w:pStyle w:val="BodyText"/>
        <w:spacing w:before="11"/>
        <w:rPr>
          <w:sz w:val="16"/>
        </w:rPr>
      </w:pPr>
    </w:p>
    <w:p>
      <w:pPr>
        <w:pStyle w:val="BodyText"/>
        <w:spacing w:before="70"/>
        <w:ind w:left="2213" w:right="2445"/>
        <w:jc w:val="center"/>
        <w:rPr>
          <w:rFonts w:ascii="黑体" w:eastAsia="黑体" w:hint="eastAsia"/>
        </w:rPr>
      </w:pPr>
      <w:bookmarkStart w:name="_bookmark61" w:id="272"/>
      <w:bookmarkEnd w:id="272"/>
      <w:r>
        <w:rPr/>
      </w:r>
      <w:r>
        <w:rPr>
          <w:rFonts w:ascii="黑体" w:eastAsia="黑体" w:hint="eastAsia"/>
        </w:rPr>
        <w:t>按英文字母顺序排列的术语索引</w:t>
      </w:r>
    </w:p>
    <w:p>
      <w:pPr>
        <w:pStyle w:val="BodyText"/>
        <w:tabs>
          <w:tab w:pos="9631" w:val="right" w:leader="none"/>
        </w:tabs>
        <w:spacing w:before="242"/>
        <w:ind w:left="278"/>
        <w:rPr>
          <w:rFonts w:ascii="Calibri" w:eastAsia="Calibri"/>
        </w:rPr>
      </w:pPr>
      <w:r>
        <w:rPr>
          <w:rFonts w:ascii="Calibri" w:eastAsia="Calibri"/>
        </w:rPr>
        <w:t>audit </w:t>
      </w:r>
      <w:r>
        <w:rPr>
          <w:rFonts w:ascii="Calibri" w:eastAsia="Calibri"/>
          <w:spacing w:val="6"/>
        </w:rPr>
        <w:t> </w:t>
      </w:r>
      <w:r>
        <w:rPr/>
        <w:t>审核</w:t>
        <w:tab/>
      </w:r>
      <w:r>
        <w:rPr>
          <w:rFonts w:ascii="Calibri" w:eastAsia="Calibri"/>
        </w:rPr>
        <w:t>3.32</w:t>
      </w:r>
    </w:p>
    <w:p>
      <w:pPr>
        <w:pStyle w:val="BodyText"/>
        <w:tabs>
          <w:tab w:pos="9631" w:val="right" w:leader="none"/>
        </w:tabs>
        <w:ind w:left="278"/>
        <w:rPr>
          <w:rFonts w:ascii="Calibri" w:eastAsia="Calibri"/>
        </w:rPr>
      </w:pPr>
      <w:r>
        <w:rPr>
          <w:rFonts w:ascii="Calibri" w:eastAsia="Calibri"/>
        </w:rPr>
        <w:t>competence </w:t>
      </w:r>
      <w:r>
        <w:rPr>
          <w:rFonts w:ascii="Calibri" w:eastAsia="Calibri"/>
          <w:spacing w:val="8"/>
        </w:rPr>
        <w:t> </w:t>
      </w:r>
      <w:r>
        <w:rPr/>
        <w:t>能力</w:t>
        <w:tab/>
      </w:r>
      <w:r>
        <w:rPr>
          <w:rFonts w:ascii="Calibri" w:eastAsia="Calibri"/>
        </w:rPr>
        <w:t>3.23</w:t>
      </w:r>
    </w:p>
    <w:p>
      <w:pPr>
        <w:pStyle w:val="BodyText"/>
        <w:tabs>
          <w:tab w:pos="9631" w:val="right" w:leader="none"/>
        </w:tabs>
        <w:ind w:left="278"/>
        <w:rPr>
          <w:rFonts w:ascii="Calibri" w:eastAsia="Calibri"/>
        </w:rPr>
      </w:pPr>
      <w:r>
        <w:rPr>
          <w:rFonts w:ascii="Calibri" w:eastAsia="Calibri"/>
        </w:rPr>
        <w:t>conformity </w:t>
      </w:r>
      <w:r>
        <w:rPr>
          <w:rFonts w:ascii="Calibri" w:eastAsia="Calibri"/>
          <w:spacing w:val="8"/>
        </w:rPr>
        <w:t> </w:t>
      </w:r>
      <w:r>
        <w:rPr/>
        <w:t>符合</w:t>
        <w:tab/>
      </w:r>
      <w:r>
        <w:rPr>
          <w:rFonts w:ascii="Calibri" w:eastAsia="Calibri"/>
        </w:rPr>
        <w:t>3.33</w:t>
      </w:r>
    </w:p>
    <w:p>
      <w:pPr>
        <w:pStyle w:val="BodyText"/>
        <w:tabs>
          <w:tab w:pos="9631" w:val="right" w:leader="none"/>
        </w:tabs>
        <w:ind w:left="278"/>
        <w:rPr>
          <w:rFonts w:ascii="Calibri" w:eastAsia="Calibri"/>
        </w:rPr>
      </w:pPr>
      <w:r>
        <w:rPr>
          <w:rFonts w:ascii="Calibri" w:eastAsia="Calibri"/>
        </w:rPr>
        <w:t>consultation </w:t>
      </w:r>
      <w:r>
        <w:rPr>
          <w:rFonts w:ascii="Calibri" w:eastAsia="Calibri"/>
          <w:spacing w:val="10"/>
        </w:rPr>
        <w:t> </w:t>
      </w:r>
      <w:r>
        <w:rPr/>
        <w:t>协商</w:t>
        <w:tab/>
      </w:r>
      <w:r>
        <w:rPr>
          <w:rFonts w:ascii="Calibri" w:eastAsia="Calibri"/>
        </w:rPr>
        <w:t>3.5</w:t>
      </w:r>
    </w:p>
    <w:p>
      <w:pPr>
        <w:pStyle w:val="BodyText"/>
        <w:tabs>
          <w:tab w:pos="9631" w:val="right" w:leader="none"/>
        </w:tabs>
        <w:spacing w:before="42"/>
        <w:ind w:left="278"/>
        <w:rPr>
          <w:rFonts w:ascii="Calibri" w:eastAsia="Calibri"/>
        </w:rPr>
      </w:pPr>
      <w:r>
        <w:rPr>
          <w:rFonts w:ascii="Calibri" w:eastAsia="Calibri"/>
        </w:rPr>
        <w:t>continual</w:t>
      </w:r>
      <w:r>
        <w:rPr>
          <w:rFonts w:ascii="Calibri" w:eastAsia="Calibri"/>
          <w:spacing w:val="-3"/>
        </w:rPr>
        <w:t> </w:t>
      </w:r>
      <w:r>
        <w:rPr>
          <w:rFonts w:ascii="Calibri" w:eastAsia="Calibri"/>
        </w:rPr>
        <w:t>improvement </w:t>
      </w:r>
      <w:r>
        <w:rPr>
          <w:rFonts w:ascii="Calibri" w:eastAsia="Calibri"/>
          <w:spacing w:val="10"/>
        </w:rPr>
        <w:t> </w:t>
      </w:r>
      <w:r>
        <w:rPr/>
        <w:t>持续改进</w:t>
        <w:tab/>
      </w:r>
      <w:r>
        <w:rPr>
          <w:rFonts w:ascii="Calibri" w:eastAsia="Calibri"/>
        </w:rPr>
        <w:t>3.37</w:t>
      </w:r>
    </w:p>
    <w:p>
      <w:pPr>
        <w:pStyle w:val="BodyText"/>
        <w:tabs>
          <w:tab w:pos="9631" w:val="right" w:leader="none"/>
        </w:tabs>
        <w:ind w:left="278"/>
        <w:rPr>
          <w:rFonts w:ascii="Calibri" w:eastAsia="Calibri"/>
        </w:rPr>
      </w:pPr>
      <w:r>
        <w:rPr>
          <w:rFonts w:ascii="Calibri" w:eastAsia="Calibri"/>
        </w:rPr>
        <w:t>contractor </w:t>
      </w:r>
      <w:r>
        <w:rPr>
          <w:rFonts w:ascii="Calibri" w:eastAsia="Calibri"/>
          <w:spacing w:val="8"/>
        </w:rPr>
        <w:t> </w:t>
      </w:r>
      <w:r>
        <w:rPr/>
        <w:t>承包方</w:t>
        <w:tab/>
      </w:r>
      <w:r>
        <w:rPr>
          <w:rFonts w:ascii="Calibri" w:eastAsia="Calibri"/>
        </w:rPr>
        <w:t>3.7</w:t>
      </w:r>
    </w:p>
    <w:p>
      <w:pPr>
        <w:pStyle w:val="BodyText"/>
        <w:tabs>
          <w:tab w:pos="9631" w:val="right" w:leader="none"/>
        </w:tabs>
        <w:ind w:left="278"/>
        <w:rPr>
          <w:rFonts w:ascii="Calibri" w:eastAsia="Calibri"/>
        </w:rPr>
      </w:pPr>
      <w:r>
        <w:rPr>
          <w:rFonts w:ascii="Calibri" w:eastAsia="Calibri"/>
        </w:rPr>
        <w:t>corrective</w:t>
      </w:r>
      <w:r>
        <w:rPr>
          <w:rFonts w:ascii="Calibri" w:eastAsia="Calibri"/>
          <w:spacing w:val="-2"/>
        </w:rPr>
        <w:t> </w:t>
      </w:r>
      <w:r>
        <w:rPr>
          <w:rFonts w:ascii="Calibri" w:eastAsia="Calibri"/>
        </w:rPr>
        <w:t>action </w:t>
      </w:r>
      <w:r>
        <w:rPr>
          <w:rFonts w:ascii="Calibri" w:eastAsia="Calibri"/>
          <w:spacing w:val="11"/>
        </w:rPr>
        <w:t> </w:t>
      </w:r>
      <w:r>
        <w:rPr/>
        <w:t>纠正措施</w:t>
        <w:tab/>
      </w:r>
      <w:r>
        <w:rPr>
          <w:rFonts w:ascii="Calibri" w:eastAsia="Calibri"/>
        </w:rPr>
        <w:t>3.36</w:t>
      </w:r>
    </w:p>
    <w:p>
      <w:pPr>
        <w:pStyle w:val="BodyText"/>
        <w:tabs>
          <w:tab w:pos="9631" w:val="right" w:leader="none"/>
        </w:tabs>
        <w:ind w:left="278"/>
        <w:rPr>
          <w:rFonts w:ascii="Calibri" w:eastAsia="Calibri"/>
        </w:rPr>
      </w:pPr>
      <w:r>
        <w:rPr>
          <w:rFonts w:ascii="Calibri" w:eastAsia="Calibri"/>
        </w:rPr>
        <w:t>documented information </w:t>
      </w:r>
      <w:r>
        <w:rPr>
          <w:rFonts w:ascii="Calibri" w:eastAsia="Calibri"/>
          <w:spacing w:val="8"/>
        </w:rPr>
        <w:t> </w:t>
      </w:r>
      <w:r>
        <w:rPr/>
        <w:t>文件化信息</w:t>
        <w:tab/>
      </w:r>
      <w:r>
        <w:rPr>
          <w:rFonts w:ascii="Calibri" w:eastAsia="Calibri"/>
        </w:rPr>
        <w:t>3.24</w:t>
      </w:r>
    </w:p>
    <w:p>
      <w:pPr>
        <w:pStyle w:val="BodyText"/>
        <w:tabs>
          <w:tab w:pos="9631" w:val="right" w:leader="none"/>
        </w:tabs>
        <w:ind w:left="278"/>
        <w:rPr>
          <w:rFonts w:ascii="Calibri" w:eastAsia="Calibri"/>
        </w:rPr>
      </w:pPr>
      <w:r>
        <w:rPr>
          <w:rFonts w:ascii="Calibri" w:eastAsia="Calibri"/>
        </w:rPr>
        <w:t>effectiveness </w:t>
      </w:r>
      <w:r>
        <w:rPr>
          <w:rFonts w:ascii="Calibri" w:eastAsia="Calibri"/>
          <w:spacing w:val="9"/>
        </w:rPr>
        <w:t> </w:t>
      </w:r>
      <w:r>
        <w:rPr/>
        <w:t>有效性</w:t>
        <w:tab/>
      </w:r>
      <w:r>
        <w:rPr>
          <w:rFonts w:ascii="Calibri" w:eastAsia="Calibri"/>
        </w:rPr>
        <w:t>3.13</w:t>
      </w:r>
    </w:p>
    <w:p>
      <w:pPr>
        <w:pStyle w:val="BodyText"/>
        <w:tabs>
          <w:tab w:pos="9631" w:val="right" w:leader="none"/>
        </w:tabs>
        <w:ind w:left="278"/>
        <w:rPr>
          <w:rFonts w:ascii="Calibri" w:eastAsia="Calibri"/>
        </w:rPr>
      </w:pPr>
      <w:r>
        <w:rPr>
          <w:rFonts w:ascii="Calibri" w:eastAsia="Calibri"/>
        </w:rPr>
        <w:t>hazard </w:t>
      </w:r>
      <w:r>
        <w:rPr>
          <w:rFonts w:ascii="Calibri" w:eastAsia="Calibri"/>
          <w:spacing w:val="5"/>
        </w:rPr>
        <w:t> </w:t>
      </w:r>
      <w:r>
        <w:rPr/>
        <w:t>危险源</w:t>
        <w:tab/>
      </w:r>
      <w:r>
        <w:rPr>
          <w:rFonts w:ascii="Calibri" w:eastAsia="Calibri"/>
        </w:rPr>
        <w:t>3.19</w:t>
      </w:r>
    </w:p>
    <w:p>
      <w:pPr>
        <w:pStyle w:val="BodyText"/>
        <w:tabs>
          <w:tab w:pos="9631" w:val="right" w:leader="none"/>
        </w:tabs>
        <w:ind w:left="278"/>
        <w:rPr>
          <w:rFonts w:ascii="Calibri" w:eastAsia="Calibri"/>
        </w:rPr>
      </w:pPr>
      <w:r>
        <w:rPr>
          <w:rFonts w:ascii="Calibri" w:eastAsia="Calibri"/>
        </w:rPr>
        <w:t>Hazard </w:t>
      </w:r>
      <w:r>
        <w:rPr>
          <w:rFonts w:ascii="Calibri" w:eastAsia="Calibri"/>
          <w:spacing w:val="7"/>
        </w:rPr>
        <w:t> </w:t>
      </w:r>
      <w:r>
        <w:rPr/>
        <w:t>危害因素</w:t>
        <w:tab/>
      </w:r>
      <w:r>
        <w:rPr>
          <w:rFonts w:ascii="Calibri" w:eastAsia="Calibri"/>
        </w:rPr>
        <w:t>3.19</w:t>
      </w:r>
    </w:p>
    <w:p>
      <w:pPr>
        <w:pStyle w:val="BodyText"/>
        <w:tabs>
          <w:tab w:pos="9631" w:val="right" w:leader="none"/>
        </w:tabs>
        <w:ind w:left="278"/>
        <w:rPr>
          <w:rFonts w:ascii="Calibri" w:eastAsia="Calibri"/>
        </w:rPr>
      </w:pPr>
      <w:r>
        <w:rPr>
          <w:rFonts w:ascii="Calibri" w:eastAsia="Calibri"/>
        </w:rPr>
        <w:t>Hazard </w:t>
      </w:r>
      <w:r>
        <w:rPr>
          <w:rFonts w:ascii="Calibri" w:eastAsia="Calibri"/>
          <w:spacing w:val="7"/>
        </w:rPr>
        <w:t> </w:t>
      </w:r>
      <w:r>
        <w:rPr/>
        <w:t>危害来源</w:t>
        <w:tab/>
      </w:r>
      <w:r>
        <w:rPr>
          <w:rFonts w:ascii="Calibri" w:eastAsia="Calibri"/>
        </w:rPr>
        <w:t>3.19</w:t>
      </w:r>
    </w:p>
    <w:p>
      <w:pPr>
        <w:pStyle w:val="BodyText"/>
        <w:tabs>
          <w:tab w:pos="9631" w:val="right" w:leader="none"/>
        </w:tabs>
        <w:ind w:left="278"/>
        <w:rPr>
          <w:rFonts w:ascii="Calibri" w:eastAsia="Calibri"/>
        </w:rPr>
      </w:pPr>
      <w:r>
        <w:rPr>
          <w:rFonts w:ascii="Calibri" w:eastAsia="Calibri"/>
        </w:rPr>
        <w:t>incident </w:t>
      </w:r>
      <w:r>
        <w:rPr>
          <w:rFonts w:ascii="Calibri" w:eastAsia="Calibri"/>
          <w:spacing w:val="9"/>
        </w:rPr>
        <w:t> </w:t>
      </w:r>
      <w:r>
        <w:rPr/>
        <w:t>事件</w:t>
        <w:tab/>
      </w:r>
      <w:r>
        <w:rPr>
          <w:rFonts w:ascii="Calibri" w:eastAsia="Calibri"/>
        </w:rPr>
        <w:t>3.35</w:t>
      </w:r>
    </w:p>
    <w:p>
      <w:pPr>
        <w:pStyle w:val="BodyText"/>
        <w:tabs>
          <w:tab w:pos="9631" w:val="right" w:leader="none"/>
        </w:tabs>
        <w:ind w:left="278"/>
        <w:rPr>
          <w:rFonts w:ascii="Calibri" w:eastAsia="Calibri"/>
        </w:rPr>
      </w:pPr>
      <w:r>
        <w:rPr>
          <w:rFonts w:ascii="Calibri" w:eastAsia="Calibri"/>
        </w:rPr>
        <w:t>injury and</w:t>
      </w:r>
      <w:r>
        <w:rPr>
          <w:rFonts w:ascii="Calibri" w:eastAsia="Calibri"/>
          <w:spacing w:val="-2"/>
        </w:rPr>
        <w:t> </w:t>
      </w:r>
      <w:r>
        <w:rPr>
          <w:rFonts w:ascii="Calibri" w:eastAsia="Calibri"/>
        </w:rPr>
        <w:t>ill health </w:t>
      </w:r>
      <w:r>
        <w:rPr>
          <w:rFonts w:ascii="Calibri" w:eastAsia="Calibri"/>
          <w:spacing w:val="13"/>
        </w:rPr>
        <w:t> </w:t>
      </w:r>
      <w:r>
        <w:rPr/>
        <w:t>伤害和健康损害</w:t>
        <w:tab/>
      </w:r>
      <w:r>
        <w:rPr>
          <w:rFonts w:ascii="Calibri" w:eastAsia="Calibri"/>
        </w:rPr>
        <w:t>3.18</w:t>
      </w:r>
    </w:p>
    <w:p>
      <w:pPr>
        <w:pStyle w:val="BodyText"/>
        <w:tabs>
          <w:tab w:pos="9631" w:val="right" w:leader="none"/>
        </w:tabs>
        <w:ind w:left="278"/>
        <w:rPr>
          <w:rFonts w:ascii="Calibri" w:eastAsia="Calibri"/>
        </w:rPr>
      </w:pPr>
      <w:r>
        <w:rPr>
          <w:rFonts w:ascii="Calibri" w:eastAsia="Calibri"/>
        </w:rPr>
        <w:t>interested party </w:t>
      </w:r>
      <w:r>
        <w:rPr>
          <w:rFonts w:ascii="Calibri" w:eastAsia="Calibri"/>
          <w:spacing w:val="9"/>
        </w:rPr>
        <w:t> </w:t>
      </w:r>
      <w:r>
        <w:rPr/>
        <w:t>相关方</w:t>
        <w:tab/>
      </w:r>
      <w:r>
        <w:rPr>
          <w:rFonts w:ascii="Calibri" w:eastAsia="Calibri"/>
        </w:rPr>
        <w:t>3.2</w:t>
      </w:r>
    </w:p>
    <w:p>
      <w:pPr>
        <w:pStyle w:val="BodyText"/>
        <w:tabs>
          <w:tab w:pos="9631" w:val="right" w:leader="none"/>
        </w:tabs>
        <w:ind w:left="278"/>
        <w:rPr>
          <w:rFonts w:ascii="Calibri" w:eastAsia="Calibri"/>
        </w:rPr>
      </w:pPr>
      <w:r>
        <w:rPr>
          <w:rFonts w:ascii="Calibri" w:eastAsia="Calibri"/>
        </w:rPr>
        <w:t>legal</w:t>
      </w:r>
      <w:r>
        <w:rPr>
          <w:rFonts w:ascii="Calibri" w:eastAsia="Calibri"/>
          <w:spacing w:val="-3"/>
        </w:rPr>
        <w:t> </w:t>
      </w:r>
      <w:r>
        <w:rPr>
          <w:rFonts w:ascii="Calibri" w:eastAsia="Calibri"/>
        </w:rPr>
        <w:t>requirements</w:t>
      </w:r>
      <w:r>
        <w:rPr>
          <w:rFonts w:ascii="Calibri" w:eastAsia="Calibri"/>
          <w:spacing w:val="-1"/>
        </w:rPr>
        <w:t> </w:t>
      </w:r>
      <w:r>
        <w:rPr>
          <w:rFonts w:ascii="Calibri" w:eastAsia="Calibri"/>
        </w:rPr>
        <w:t>and</w:t>
      </w:r>
      <w:r>
        <w:rPr>
          <w:rFonts w:ascii="Calibri" w:eastAsia="Calibri"/>
          <w:spacing w:val="1"/>
        </w:rPr>
        <w:t> </w:t>
      </w:r>
      <w:r>
        <w:rPr>
          <w:rFonts w:ascii="Calibri" w:eastAsia="Calibri"/>
        </w:rPr>
        <w:t>other</w:t>
      </w:r>
      <w:r>
        <w:rPr>
          <w:rFonts w:ascii="Calibri" w:eastAsia="Calibri"/>
          <w:spacing w:val="1"/>
        </w:rPr>
        <w:t> </w:t>
      </w:r>
      <w:r>
        <w:rPr>
          <w:rFonts w:ascii="Calibri" w:eastAsia="Calibri"/>
        </w:rPr>
        <w:t>requirements </w:t>
      </w:r>
      <w:r>
        <w:rPr>
          <w:rFonts w:ascii="Calibri" w:eastAsia="Calibri"/>
          <w:spacing w:val="9"/>
        </w:rPr>
        <w:t> </w:t>
      </w:r>
      <w:r>
        <w:rPr/>
        <w:t>法律法规要求和其他要求</w:t>
        <w:tab/>
      </w:r>
      <w:r>
        <w:rPr>
          <w:rFonts w:ascii="Calibri" w:eastAsia="Calibri"/>
        </w:rPr>
        <w:t>3.9</w:t>
      </w:r>
    </w:p>
    <w:p>
      <w:pPr>
        <w:pStyle w:val="BodyText"/>
        <w:tabs>
          <w:tab w:pos="9631" w:val="right" w:leader="none"/>
        </w:tabs>
        <w:ind w:left="278"/>
        <w:rPr>
          <w:rFonts w:ascii="Calibri" w:eastAsia="Calibri"/>
        </w:rPr>
      </w:pPr>
      <w:r>
        <w:rPr>
          <w:rFonts w:ascii="Calibri" w:eastAsia="Calibri"/>
        </w:rPr>
        <w:t>management</w:t>
      </w:r>
      <w:r>
        <w:rPr>
          <w:rFonts w:ascii="Calibri" w:eastAsia="Calibri"/>
          <w:spacing w:val="-1"/>
        </w:rPr>
        <w:t> </w:t>
      </w:r>
      <w:r>
        <w:rPr>
          <w:rFonts w:ascii="Calibri" w:eastAsia="Calibri"/>
        </w:rPr>
        <w:t>system </w:t>
      </w:r>
      <w:r>
        <w:rPr>
          <w:rFonts w:ascii="Calibri" w:eastAsia="Calibri"/>
          <w:spacing w:val="9"/>
        </w:rPr>
        <w:t> </w:t>
      </w:r>
      <w:r>
        <w:rPr/>
        <w:t>管理体系</w:t>
        <w:tab/>
      </w:r>
      <w:r>
        <w:rPr>
          <w:rFonts w:ascii="Calibri" w:eastAsia="Calibri"/>
        </w:rPr>
        <w:t>3.10</w:t>
      </w:r>
    </w:p>
    <w:p>
      <w:pPr>
        <w:pStyle w:val="BodyText"/>
        <w:tabs>
          <w:tab w:pos="9631" w:val="right" w:leader="none"/>
        </w:tabs>
        <w:ind w:left="278"/>
        <w:rPr>
          <w:rFonts w:ascii="Calibri" w:eastAsia="Calibri"/>
        </w:rPr>
      </w:pPr>
      <w:r>
        <w:rPr>
          <w:rFonts w:ascii="Calibri" w:eastAsia="Calibri"/>
        </w:rPr>
        <w:t>measurement </w:t>
      </w:r>
      <w:r>
        <w:rPr>
          <w:rFonts w:ascii="Calibri" w:eastAsia="Calibri"/>
          <w:spacing w:val="9"/>
        </w:rPr>
        <w:t> </w:t>
      </w:r>
      <w:r>
        <w:rPr/>
        <w:t>测量</w:t>
        <w:tab/>
      </w:r>
      <w:r>
        <w:rPr>
          <w:rFonts w:ascii="Calibri" w:eastAsia="Calibri"/>
        </w:rPr>
        <w:t>3.31</w:t>
      </w:r>
    </w:p>
    <w:p>
      <w:pPr>
        <w:pStyle w:val="BodyText"/>
        <w:tabs>
          <w:tab w:pos="9631" w:val="right" w:leader="none"/>
        </w:tabs>
        <w:ind w:left="278"/>
        <w:rPr>
          <w:rFonts w:ascii="Calibri" w:eastAsia="Calibri"/>
        </w:rPr>
      </w:pPr>
      <w:r>
        <w:rPr>
          <w:rFonts w:ascii="Calibri" w:eastAsia="Calibri"/>
        </w:rPr>
        <w:t>monitoring </w:t>
      </w:r>
      <w:r>
        <w:rPr>
          <w:rFonts w:ascii="Calibri" w:eastAsia="Calibri"/>
          <w:spacing w:val="9"/>
        </w:rPr>
        <w:t> </w:t>
      </w:r>
      <w:r>
        <w:rPr/>
        <w:t>监视</w:t>
        <w:tab/>
      </w:r>
      <w:r>
        <w:rPr>
          <w:rFonts w:ascii="Calibri" w:eastAsia="Calibri"/>
        </w:rPr>
        <w:t>3.30</w:t>
      </w:r>
    </w:p>
    <w:p>
      <w:pPr>
        <w:pStyle w:val="BodyText"/>
        <w:tabs>
          <w:tab w:pos="9631" w:val="right" w:leader="none"/>
        </w:tabs>
        <w:ind w:left="278"/>
        <w:rPr>
          <w:rFonts w:ascii="Calibri" w:eastAsia="Calibri"/>
        </w:rPr>
      </w:pPr>
      <w:r>
        <w:rPr>
          <w:rFonts w:ascii="Calibri" w:eastAsia="Calibri"/>
        </w:rPr>
        <w:t>nonconformity </w:t>
      </w:r>
      <w:r>
        <w:rPr>
          <w:rFonts w:ascii="Calibri" w:eastAsia="Calibri"/>
          <w:spacing w:val="11"/>
        </w:rPr>
        <w:t> </w:t>
      </w:r>
      <w:r>
        <w:rPr/>
        <w:t>不符合</w:t>
        <w:tab/>
      </w:r>
      <w:r>
        <w:rPr>
          <w:rFonts w:ascii="Calibri" w:eastAsia="Calibri"/>
        </w:rPr>
        <w:t>3.34</w:t>
      </w:r>
    </w:p>
    <w:p>
      <w:pPr>
        <w:pStyle w:val="BodyText"/>
        <w:tabs>
          <w:tab w:pos="9631" w:val="right" w:leader="none"/>
        </w:tabs>
        <w:spacing w:before="42"/>
        <w:ind w:left="278"/>
        <w:rPr>
          <w:rFonts w:ascii="Calibri" w:eastAsia="Calibri"/>
        </w:rPr>
      </w:pPr>
      <w:r>
        <w:rPr>
          <w:rFonts w:ascii="Calibri" w:eastAsia="Calibri"/>
        </w:rPr>
        <w:t>objective </w:t>
      </w:r>
      <w:r>
        <w:rPr>
          <w:rFonts w:ascii="Calibri" w:eastAsia="Calibri"/>
          <w:spacing w:val="11"/>
        </w:rPr>
        <w:t> </w:t>
      </w:r>
      <w:r>
        <w:rPr/>
        <w:t>目标</w:t>
        <w:tab/>
      </w:r>
      <w:r>
        <w:rPr>
          <w:rFonts w:ascii="Calibri" w:eastAsia="Calibri"/>
        </w:rPr>
        <w:t>3.16</w:t>
      </w:r>
    </w:p>
    <w:p>
      <w:pPr>
        <w:pStyle w:val="BodyText"/>
        <w:tabs>
          <w:tab w:pos="9631" w:val="right" w:leader="none"/>
        </w:tabs>
        <w:ind w:left="278"/>
        <w:rPr>
          <w:rFonts w:ascii="Calibri" w:eastAsia="Calibri"/>
        </w:rPr>
      </w:pPr>
      <w:r>
        <w:rPr>
          <w:rFonts w:ascii="Calibri" w:eastAsia="Calibri"/>
        </w:rPr>
        <w:t>occupational</w:t>
      </w:r>
      <w:r>
        <w:rPr>
          <w:rFonts w:ascii="Calibri" w:eastAsia="Calibri"/>
          <w:spacing w:val="-3"/>
        </w:rPr>
        <w:t> </w:t>
      </w:r>
      <w:r>
        <w:rPr>
          <w:rFonts w:ascii="Calibri" w:eastAsia="Calibri"/>
        </w:rPr>
        <w:t>health</w:t>
      </w:r>
      <w:r>
        <w:rPr>
          <w:rFonts w:ascii="Calibri" w:eastAsia="Calibri"/>
          <w:spacing w:val="2"/>
        </w:rPr>
        <w:t> </w:t>
      </w:r>
      <w:r>
        <w:rPr>
          <w:rFonts w:ascii="Calibri" w:eastAsia="Calibri"/>
        </w:rPr>
        <w:t>and</w:t>
      </w:r>
      <w:r>
        <w:rPr>
          <w:rFonts w:ascii="Calibri" w:eastAsia="Calibri"/>
          <w:spacing w:val="-3"/>
        </w:rPr>
        <w:t> </w:t>
      </w:r>
      <w:r>
        <w:rPr>
          <w:rFonts w:ascii="Calibri" w:eastAsia="Calibri"/>
        </w:rPr>
        <w:t>safety</w:t>
      </w:r>
      <w:r>
        <w:rPr>
          <w:rFonts w:ascii="Calibri" w:eastAsia="Calibri"/>
          <w:spacing w:val="-2"/>
        </w:rPr>
        <w:t> </w:t>
      </w:r>
      <w:r>
        <w:rPr>
          <w:rFonts w:ascii="Calibri" w:eastAsia="Calibri"/>
        </w:rPr>
        <w:t>management</w:t>
      </w:r>
      <w:r>
        <w:rPr>
          <w:rFonts w:ascii="Calibri" w:eastAsia="Calibri"/>
          <w:spacing w:val="-4"/>
        </w:rPr>
        <w:t> </w:t>
      </w:r>
      <w:r>
        <w:rPr>
          <w:rFonts w:ascii="Calibri" w:eastAsia="Calibri"/>
        </w:rPr>
        <w:t>system </w:t>
      </w:r>
      <w:r>
        <w:rPr>
          <w:rFonts w:ascii="Calibri" w:eastAsia="Calibri"/>
          <w:spacing w:val="9"/>
        </w:rPr>
        <w:t> </w:t>
      </w:r>
      <w:r>
        <w:rPr/>
        <w:t>职业健康安全管理体系</w:t>
        <w:tab/>
      </w:r>
      <w:r>
        <w:rPr>
          <w:rFonts w:ascii="Calibri" w:eastAsia="Calibri"/>
        </w:rPr>
        <w:t>3.11</w:t>
      </w:r>
    </w:p>
    <w:p>
      <w:pPr>
        <w:pStyle w:val="BodyText"/>
        <w:tabs>
          <w:tab w:pos="9631" w:val="right" w:leader="none"/>
        </w:tabs>
        <w:ind w:left="278"/>
        <w:rPr>
          <w:rFonts w:ascii="Calibri" w:eastAsia="Calibri"/>
        </w:rPr>
      </w:pPr>
      <w:r>
        <w:rPr>
          <w:rFonts w:ascii="Calibri" w:eastAsia="Calibri"/>
        </w:rPr>
        <w:t>occupational</w:t>
      </w:r>
      <w:r>
        <w:rPr>
          <w:rFonts w:ascii="Calibri" w:eastAsia="Calibri"/>
          <w:spacing w:val="-3"/>
        </w:rPr>
        <w:t> </w:t>
      </w:r>
      <w:r>
        <w:rPr>
          <w:rFonts w:ascii="Calibri" w:eastAsia="Calibri"/>
        </w:rPr>
        <w:t>health</w:t>
      </w:r>
      <w:r>
        <w:rPr>
          <w:rFonts w:ascii="Calibri" w:eastAsia="Calibri"/>
          <w:spacing w:val="3"/>
        </w:rPr>
        <w:t> </w:t>
      </w:r>
      <w:r>
        <w:rPr>
          <w:rFonts w:ascii="Calibri" w:eastAsia="Calibri"/>
        </w:rPr>
        <w:t>and</w:t>
      </w:r>
      <w:r>
        <w:rPr>
          <w:rFonts w:ascii="Calibri" w:eastAsia="Calibri"/>
          <w:spacing w:val="-3"/>
        </w:rPr>
        <w:t> </w:t>
      </w:r>
      <w:r>
        <w:rPr>
          <w:rFonts w:ascii="Calibri" w:eastAsia="Calibri"/>
        </w:rPr>
        <w:t>safety</w:t>
      </w:r>
      <w:r>
        <w:rPr>
          <w:rFonts w:ascii="Calibri" w:eastAsia="Calibri"/>
          <w:spacing w:val="-1"/>
        </w:rPr>
        <w:t> </w:t>
      </w:r>
      <w:r>
        <w:rPr>
          <w:rFonts w:ascii="Calibri" w:eastAsia="Calibri"/>
        </w:rPr>
        <w:t>objective </w:t>
      </w:r>
      <w:r>
        <w:rPr>
          <w:rFonts w:ascii="Calibri" w:eastAsia="Calibri"/>
          <w:spacing w:val="11"/>
        </w:rPr>
        <w:t> </w:t>
      </w:r>
      <w:r>
        <w:rPr/>
        <w:t>职业健康安全目标</w:t>
        <w:tab/>
      </w:r>
      <w:r>
        <w:rPr>
          <w:rFonts w:ascii="Calibri" w:eastAsia="Calibri"/>
        </w:rPr>
        <w:t>3.17</w:t>
      </w:r>
    </w:p>
    <w:p>
      <w:pPr>
        <w:pStyle w:val="BodyText"/>
        <w:tabs>
          <w:tab w:pos="9631" w:val="right" w:leader="none"/>
        </w:tabs>
        <w:ind w:left="278"/>
        <w:rPr>
          <w:rFonts w:ascii="Calibri" w:eastAsia="Calibri"/>
        </w:rPr>
      </w:pPr>
      <w:r>
        <w:rPr>
          <w:rFonts w:ascii="Calibri" w:eastAsia="Calibri"/>
        </w:rPr>
        <w:t>occupational</w:t>
      </w:r>
      <w:r>
        <w:rPr>
          <w:rFonts w:ascii="Calibri" w:eastAsia="Calibri"/>
          <w:spacing w:val="-3"/>
        </w:rPr>
        <w:t> </w:t>
      </w:r>
      <w:r>
        <w:rPr>
          <w:rFonts w:ascii="Calibri" w:eastAsia="Calibri"/>
        </w:rPr>
        <w:t>health</w:t>
      </w:r>
      <w:r>
        <w:rPr>
          <w:rFonts w:ascii="Calibri" w:eastAsia="Calibri"/>
          <w:spacing w:val="3"/>
        </w:rPr>
        <w:t> </w:t>
      </w:r>
      <w:r>
        <w:rPr>
          <w:rFonts w:ascii="Calibri" w:eastAsia="Calibri"/>
        </w:rPr>
        <w:t>and</w:t>
      </w:r>
      <w:r>
        <w:rPr>
          <w:rFonts w:ascii="Calibri" w:eastAsia="Calibri"/>
          <w:spacing w:val="-3"/>
        </w:rPr>
        <w:t> </w:t>
      </w:r>
      <w:r>
        <w:rPr>
          <w:rFonts w:ascii="Calibri" w:eastAsia="Calibri"/>
        </w:rPr>
        <w:t>safety</w:t>
      </w:r>
      <w:r>
        <w:rPr>
          <w:rFonts w:ascii="Calibri" w:eastAsia="Calibri"/>
          <w:spacing w:val="-1"/>
        </w:rPr>
        <w:t> </w:t>
      </w:r>
      <w:r>
        <w:rPr>
          <w:rFonts w:ascii="Calibri" w:eastAsia="Calibri"/>
        </w:rPr>
        <w:t>opportunity </w:t>
      </w:r>
      <w:r>
        <w:rPr>
          <w:rFonts w:ascii="Calibri" w:eastAsia="Calibri"/>
          <w:spacing w:val="11"/>
        </w:rPr>
        <w:t> </w:t>
      </w:r>
      <w:r>
        <w:rPr/>
        <w:t>职业健康安全机遇</w:t>
        <w:tab/>
      </w:r>
      <w:r>
        <w:rPr>
          <w:rFonts w:ascii="Calibri" w:eastAsia="Calibri"/>
        </w:rPr>
        <w:t>3.22</w:t>
      </w:r>
    </w:p>
    <w:p>
      <w:pPr>
        <w:pStyle w:val="BodyText"/>
        <w:tabs>
          <w:tab w:pos="9631" w:val="right" w:leader="none"/>
        </w:tabs>
        <w:ind w:left="278"/>
        <w:rPr>
          <w:rFonts w:ascii="Calibri" w:eastAsia="Calibri"/>
        </w:rPr>
      </w:pPr>
      <w:r>
        <w:rPr>
          <w:rFonts w:ascii="Calibri" w:eastAsia="Calibri"/>
        </w:rPr>
        <w:t>occupational</w:t>
      </w:r>
      <w:r>
        <w:rPr>
          <w:rFonts w:ascii="Calibri" w:eastAsia="Calibri"/>
          <w:spacing w:val="-3"/>
        </w:rPr>
        <w:t> </w:t>
      </w:r>
      <w:r>
        <w:rPr>
          <w:rFonts w:ascii="Calibri" w:eastAsia="Calibri"/>
        </w:rPr>
        <w:t>health</w:t>
      </w:r>
      <w:r>
        <w:rPr>
          <w:rFonts w:ascii="Calibri" w:eastAsia="Calibri"/>
          <w:spacing w:val="2"/>
        </w:rPr>
        <w:t> </w:t>
      </w:r>
      <w:r>
        <w:rPr>
          <w:rFonts w:ascii="Calibri" w:eastAsia="Calibri"/>
        </w:rPr>
        <w:t>and</w:t>
      </w:r>
      <w:r>
        <w:rPr>
          <w:rFonts w:ascii="Calibri" w:eastAsia="Calibri"/>
          <w:spacing w:val="-2"/>
        </w:rPr>
        <w:t> </w:t>
      </w:r>
      <w:r>
        <w:rPr>
          <w:rFonts w:ascii="Calibri" w:eastAsia="Calibri"/>
        </w:rPr>
        <w:t>safety</w:t>
      </w:r>
      <w:r>
        <w:rPr>
          <w:rFonts w:ascii="Calibri" w:eastAsia="Calibri"/>
          <w:spacing w:val="-1"/>
        </w:rPr>
        <w:t> </w:t>
      </w:r>
      <w:r>
        <w:rPr>
          <w:rFonts w:ascii="Calibri" w:eastAsia="Calibri"/>
        </w:rPr>
        <w:t>performance </w:t>
      </w:r>
      <w:r>
        <w:rPr>
          <w:rFonts w:ascii="Calibri" w:eastAsia="Calibri"/>
          <w:spacing w:val="7"/>
        </w:rPr>
        <w:t> </w:t>
      </w:r>
      <w:r>
        <w:rPr/>
        <w:t>职业健康安全绩效</w:t>
        <w:tab/>
      </w:r>
      <w:r>
        <w:rPr>
          <w:rFonts w:ascii="Calibri" w:eastAsia="Calibri"/>
        </w:rPr>
        <w:t>3.28</w:t>
      </w:r>
    </w:p>
    <w:p>
      <w:pPr>
        <w:pStyle w:val="BodyText"/>
        <w:tabs>
          <w:tab w:pos="9631" w:val="right" w:leader="none"/>
        </w:tabs>
        <w:ind w:left="278"/>
        <w:rPr>
          <w:rFonts w:ascii="Calibri" w:eastAsia="Calibri"/>
        </w:rPr>
      </w:pPr>
      <w:r>
        <w:rPr>
          <w:rFonts w:ascii="Calibri" w:eastAsia="Calibri"/>
        </w:rPr>
        <w:t>occupational</w:t>
      </w:r>
      <w:r>
        <w:rPr>
          <w:rFonts w:ascii="Calibri" w:eastAsia="Calibri"/>
          <w:spacing w:val="-3"/>
        </w:rPr>
        <w:t> </w:t>
      </w:r>
      <w:r>
        <w:rPr>
          <w:rFonts w:ascii="Calibri" w:eastAsia="Calibri"/>
        </w:rPr>
        <w:t>health</w:t>
      </w:r>
      <w:r>
        <w:rPr>
          <w:rFonts w:ascii="Calibri" w:eastAsia="Calibri"/>
          <w:spacing w:val="3"/>
        </w:rPr>
        <w:t> </w:t>
      </w:r>
      <w:r>
        <w:rPr>
          <w:rFonts w:ascii="Calibri" w:eastAsia="Calibri"/>
        </w:rPr>
        <w:t>and</w:t>
      </w:r>
      <w:r>
        <w:rPr>
          <w:rFonts w:ascii="Calibri" w:eastAsia="Calibri"/>
          <w:spacing w:val="-3"/>
        </w:rPr>
        <w:t> </w:t>
      </w:r>
      <w:r>
        <w:rPr>
          <w:rFonts w:ascii="Calibri" w:eastAsia="Calibri"/>
        </w:rPr>
        <w:t>safety</w:t>
      </w:r>
      <w:r>
        <w:rPr>
          <w:rFonts w:ascii="Calibri" w:eastAsia="Calibri"/>
          <w:spacing w:val="-1"/>
        </w:rPr>
        <w:t> </w:t>
      </w:r>
      <w:r>
        <w:rPr>
          <w:rFonts w:ascii="Calibri" w:eastAsia="Calibri"/>
        </w:rPr>
        <w:t>policy </w:t>
      </w:r>
      <w:r>
        <w:rPr>
          <w:rFonts w:ascii="Calibri" w:eastAsia="Calibri"/>
          <w:spacing w:val="11"/>
        </w:rPr>
        <w:t> </w:t>
      </w:r>
      <w:r>
        <w:rPr/>
        <w:t>职业健康安全方针</w:t>
        <w:tab/>
      </w:r>
      <w:r>
        <w:rPr>
          <w:rFonts w:ascii="Calibri" w:eastAsia="Calibri"/>
        </w:rPr>
        <w:t>3.15</w:t>
      </w:r>
    </w:p>
    <w:p>
      <w:pPr>
        <w:pStyle w:val="BodyText"/>
        <w:tabs>
          <w:tab w:pos="9631" w:val="right" w:leader="none"/>
        </w:tabs>
        <w:ind w:left="278"/>
        <w:rPr>
          <w:rFonts w:ascii="Calibri" w:eastAsia="Calibri"/>
        </w:rPr>
      </w:pPr>
      <w:r>
        <w:rPr>
          <w:rFonts w:ascii="Calibri" w:eastAsia="Calibri"/>
        </w:rPr>
        <w:t>occupational</w:t>
      </w:r>
      <w:r>
        <w:rPr>
          <w:rFonts w:ascii="Calibri" w:eastAsia="Calibri"/>
          <w:spacing w:val="-3"/>
        </w:rPr>
        <w:t> </w:t>
      </w:r>
      <w:r>
        <w:rPr>
          <w:rFonts w:ascii="Calibri" w:eastAsia="Calibri"/>
        </w:rPr>
        <w:t>health</w:t>
      </w:r>
      <w:r>
        <w:rPr>
          <w:rFonts w:ascii="Calibri" w:eastAsia="Calibri"/>
          <w:spacing w:val="3"/>
        </w:rPr>
        <w:t> </w:t>
      </w:r>
      <w:r>
        <w:rPr>
          <w:rFonts w:ascii="Calibri" w:eastAsia="Calibri"/>
        </w:rPr>
        <w:t>and</w:t>
      </w:r>
      <w:r>
        <w:rPr>
          <w:rFonts w:ascii="Calibri" w:eastAsia="Calibri"/>
          <w:spacing w:val="-3"/>
        </w:rPr>
        <w:t> </w:t>
      </w:r>
      <w:r>
        <w:rPr>
          <w:rFonts w:ascii="Calibri" w:eastAsia="Calibri"/>
        </w:rPr>
        <w:t>safety</w:t>
      </w:r>
      <w:r>
        <w:rPr>
          <w:rFonts w:ascii="Calibri" w:eastAsia="Calibri"/>
          <w:spacing w:val="-1"/>
        </w:rPr>
        <w:t> </w:t>
      </w:r>
      <w:r>
        <w:rPr>
          <w:rFonts w:ascii="Calibri" w:eastAsia="Calibri"/>
        </w:rPr>
        <w:t>risk </w:t>
      </w:r>
      <w:r>
        <w:rPr>
          <w:rFonts w:ascii="Calibri" w:eastAsia="Calibri"/>
          <w:spacing w:val="10"/>
        </w:rPr>
        <w:t> </w:t>
      </w:r>
      <w:r>
        <w:rPr/>
        <w:t>职业健康安全风险</w:t>
        <w:tab/>
      </w:r>
      <w:r>
        <w:rPr>
          <w:rFonts w:ascii="Calibri" w:eastAsia="Calibri"/>
        </w:rPr>
        <w:t>3.21</w:t>
      </w:r>
    </w:p>
    <w:p>
      <w:pPr>
        <w:pStyle w:val="BodyText"/>
        <w:tabs>
          <w:tab w:pos="9631" w:val="right" w:leader="none"/>
        </w:tabs>
        <w:ind w:left="278"/>
        <w:rPr>
          <w:rFonts w:ascii="Calibri" w:eastAsia="Calibri"/>
        </w:rPr>
      </w:pPr>
      <w:r>
        <w:rPr>
          <w:rFonts w:ascii="Calibri" w:eastAsia="Calibri"/>
        </w:rPr>
        <w:t>OH&amp;S</w:t>
      </w:r>
      <w:r>
        <w:rPr>
          <w:rFonts w:ascii="Calibri" w:eastAsia="Calibri"/>
          <w:spacing w:val="1"/>
        </w:rPr>
        <w:t> </w:t>
      </w:r>
      <w:r>
        <w:rPr>
          <w:rFonts w:ascii="Calibri" w:eastAsia="Calibri"/>
        </w:rPr>
        <w:t>management</w:t>
      </w:r>
      <w:r>
        <w:rPr>
          <w:rFonts w:ascii="Calibri" w:eastAsia="Calibri"/>
          <w:spacing w:val="-3"/>
        </w:rPr>
        <w:t> </w:t>
      </w:r>
      <w:r>
        <w:rPr>
          <w:rFonts w:ascii="Calibri" w:eastAsia="Calibri"/>
        </w:rPr>
        <w:t>system </w:t>
      </w:r>
      <w:r>
        <w:rPr>
          <w:rFonts w:ascii="Calibri" w:eastAsia="Calibri"/>
          <w:spacing w:val="8"/>
        </w:rPr>
        <w:t> </w:t>
      </w:r>
      <w:r>
        <w:rPr/>
        <w:t>职业健康安全管理体系</w:t>
        <w:tab/>
      </w:r>
      <w:r>
        <w:rPr>
          <w:rFonts w:ascii="Calibri" w:eastAsia="Calibri"/>
        </w:rPr>
        <w:t>3.11</w:t>
      </w:r>
    </w:p>
    <w:p>
      <w:pPr>
        <w:pStyle w:val="BodyText"/>
        <w:tabs>
          <w:tab w:pos="9631" w:val="right" w:leader="none"/>
        </w:tabs>
        <w:ind w:left="278"/>
        <w:rPr>
          <w:rFonts w:ascii="Calibri" w:eastAsia="Calibri"/>
        </w:rPr>
      </w:pPr>
      <w:r>
        <w:rPr>
          <w:rFonts w:ascii="Calibri" w:eastAsia="Calibri"/>
        </w:rPr>
        <w:t>OH&amp;S</w:t>
      </w:r>
      <w:r>
        <w:rPr>
          <w:rFonts w:ascii="Calibri" w:eastAsia="Calibri"/>
          <w:spacing w:val="1"/>
        </w:rPr>
        <w:t> </w:t>
      </w:r>
      <w:r>
        <w:rPr>
          <w:rFonts w:ascii="Calibri" w:eastAsia="Calibri"/>
        </w:rPr>
        <w:t>objective </w:t>
      </w:r>
      <w:r>
        <w:rPr>
          <w:rFonts w:ascii="Calibri" w:eastAsia="Calibri"/>
          <w:spacing w:val="12"/>
        </w:rPr>
        <w:t> </w:t>
      </w:r>
      <w:r>
        <w:rPr/>
        <w:t>职业健康安全目标</w:t>
        <w:tab/>
      </w:r>
      <w:r>
        <w:rPr>
          <w:rFonts w:ascii="Calibri" w:eastAsia="Calibri"/>
        </w:rPr>
        <w:t>3.17</w:t>
      </w:r>
    </w:p>
    <w:p>
      <w:pPr>
        <w:pStyle w:val="BodyText"/>
        <w:tabs>
          <w:tab w:pos="9631" w:val="right" w:leader="none"/>
        </w:tabs>
        <w:ind w:left="278"/>
        <w:rPr>
          <w:rFonts w:ascii="Calibri" w:eastAsia="Calibri"/>
        </w:rPr>
      </w:pPr>
      <w:r>
        <w:rPr>
          <w:rFonts w:ascii="Calibri" w:eastAsia="Calibri"/>
        </w:rPr>
        <w:t>OH&amp;S</w:t>
      </w:r>
      <w:r>
        <w:rPr>
          <w:rFonts w:ascii="Calibri" w:eastAsia="Calibri"/>
          <w:spacing w:val="1"/>
        </w:rPr>
        <w:t> </w:t>
      </w:r>
      <w:r>
        <w:rPr>
          <w:rFonts w:ascii="Calibri" w:eastAsia="Calibri"/>
        </w:rPr>
        <w:t>opportunity </w:t>
      </w:r>
      <w:r>
        <w:rPr>
          <w:rFonts w:ascii="Calibri" w:eastAsia="Calibri"/>
          <w:spacing w:val="12"/>
        </w:rPr>
        <w:t> </w:t>
      </w:r>
      <w:r>
        <w:rPr/>
        <w:t>职业健康安全机遇</w:t>
        <w:tab/>
      </w:r>
      <w:r>
        <w:rPr>
          <w:rFonts w:ascii="Calibri" w:eastAsia="Calibri"/>
        </w:rPr>
        <w:t>3.22</w:t>
      </w:r>
    </w:p>
    <w:p>
      <w:pPr>
        <w:pStyle w:val="BodyText"/>
        <w:tabs>
          <w:tab w:pos="9631" w:val="right" w:leader="none"/>
        </w:tabs>
        <w:ind w:left="278"/>
        <w:rPr>
          <w:rFonts w:ascii="Calibri" w:eastAsia="Calibri"/>
        </w:rPr>
      </w:pPr>
      <w:r>
        <w:rPr>
          <w:rFonts w:ascii="Calibri" w:eastAsia="Calibri"/>
        </w:rPr>
        <w:t>OH&amp;S</w:t>
      </w:r>
      <w:r>
        <w:rPr>
          <w:rFonts w:ascii="Calibri" w:eastAsia="Calibri"/>
          <w:spacing w:val="1"/>
        </w:rPr>
        <w:t> </w:t>
      </w:r>
      <w:r>
        <w:rPr>
          <w:rFonts w:ascii="Calibri" w:eastAsia="Calibri"/>
        </w:rPr>
        <w:t>performance </w:t>
      </w:r>
      <w:r>
        <w:rPr>
          <w:rFonts w:ascii="Calibri" w:eastAsia="Calibri"/>
          <w:spacing w:val="9"/>
        </w:rPr>
        <w:t> </w:t>
      </w:r>
      <w:r>
        <w:rPr/>
        <w:t>职业健康安全绩效</w:t>
        <w:tab/>
      </w:r>
      <w:r>
        <w:rPr>
          <w:rFonts w:ascii="Calibri" w:eastAsia="Calibri"/>
        </w:rPr>
        <w:t>3.28</w:t>
      </w:r>
    </w:p>
    <w:p>
      <w:pPr>
        <w:pStyle w:val="BodyText"/>
        <w:tabs>
          <w:tab w:pos="9631" w:val="right" w:leader="none"/>
        </w:tabs>
        <w:ind w:left="278"/>
        <w:rPr>
          <w:rFonts w:ascii="Calibri" w:eastAsia="Calibri"/>
        </w:rPr>
      </w:pPr>
      <w:r>
        <w:rPr>
          <w:rFonts w:ascii="Calibri" w:eastAsia="Calibri"/>
        </w:rPr>
        <w:t>OH&amp;S</w:t>
      </w:r>
      <w:r>
        <w:rPr>
          <w:rFonts w:ascii="Calibri" w:eastAsia="Calibri"/>
          <w:spacing w:val="1"/>
        </w:rPr>
        <w:t> </w:t>
      </w:r>
      <w:r>
        <w:rPr>
          <w:rFonts w:ascii="Calibri" w:eastAsia="Calibri"/>
        </w:rPr>
        <w:t>policy </w:t>
      </w:r>
      <w:r>
        <w:rPr>
          <w:rFonts w:ascii="Calibri" w:eastAsia="Calibri"/>
          <w:spacing w:val="9"/>
        </w:rPr>
        <w:t> </w:t>
      </w:r>
      <w:r>
        <w:rPr/>
        <w:t>职业健康安全方针</w:t>
        <w:tab/>
      </w:r>
      <w:r>
        <w:rPr>
          <w:rFonts w:ascii="Calibri" w:eastAsia="Calibri"/>
        </w:rPr>
        <w:t>3.15</w:t>
      </w:r>
    </w:p>
    <w:p>
      <w:pPr>
        <w:pStyle w:val="BodyText"/>
        <w:tabs>
          <w:tab w:pos="9631" w:val="right" w:leader="none"/>
        </w:tabs>
        <w:ind w:left="278"/>
        <w:rPr>
          <w:rFonts w:ascii="Calibri" w:eastAsia="Calibri"/>
        </w:rPr>
      </w:pPr>
      <w:r>
        <w:rPr>
          <w:rFonts w:ascii="Calibri" w:eastAsia="Calibri"/>
        </w:rPr>
        <w:t>OH&amp;S</w:t>
      </w:r>
      <w:r>
        <w:rPr>
          <w:rFonts w:ascii="Calibri" w:eastAsia="Calibri"/>
          <w:spacing w:val="1"/>
        </w:rPr>
        <w:t> </w:t>
      </w:r>
      <w:r>
        <w:rPr>
          <w:rFonts w:ascii="Calibri" w:eastAsia="Calibri"/>
        </w:rPr>
        <w:t>risk </w:t>
      </w:r>
      <w:r>
        <w:rPr>
          <w:rFonts w:ascii="Calibri" w:eastAsia="Calibri"/>
          <w:spacing w:val="11"/>
        </w:rPr>
        <w:t> </w:t>
      </w:r>
      <w:r>
        <w:rPr/>
        <w:t>职业健康安全风险</w:t>
        <w:tab/>
      </w:r>
      <w:r>
        <w:rPr>
          <w:rFonts w:ascii="Calibri" w:eastAsia="Calibri"/>
        </w:rPr>
        <w:t>3.21</w:t>
      </w:r>
    </w:p>
    <w:p>
      <w:pPr>
        <w:pStyle w:val="BodyText"/>
        <w:tabs>
          <w:tab w:pos="9631" w:val="right" w:leader="none"/>
        </w:tabs>
        <w:ind w:left="278"/>
        <w:rPr>
          <w:rFonts w:ascii="Calibri" w:eastAsia="Calibri"/>
        </w:rPr>
      </w:pPr>
      <w:r>
        <w:rPr>
          <w:rFonts w:ascii="Calibri" w:eastAsia="Calibri"/>
        </w:rPr>
        <w:t>organization </w:t>
      </w:r>
      <w:r>
        <w:rPr>
          <w:rFonts w:ascii="Calibri" w:eastAsia="Calibri"/>
          <w:spacing w:val="7"/>
        </w:rPr>
        <w:t> </w:t>
      </w:r>
      <w:r>
        <w:rPr/>
        <w:t>组织</w:t>
        <w:tab/>
      </w:r>
      <w:r>
        <w:rPr>
          <w:rFonts w:ascii="Calibri" w:eastAsia="Calibri"/>
        </w:rPr>
        <w:t>3.1</w:t>
      </w:r>
    </w:p>
    <w:p>
      <w:pPr>
        <w:pStyle w:val="BodyText"/>
        <w:tabs>
          <w:tab w:pos="9631" w:val="right" w:leader="none"/>
        </w:tabs>
        <w:ind w:left="278"/>
        <w:rPr>
          <w:rFonts w:ascii="Calibri" w:eastAsia="Calibri"/>
        </w:rPr>
      </w:pPr>
      <w:r>
        <w:rPr>
          <w:rFonts w:ascii="Calibri" w:eastAsia="Calibri"/>
        </w:rPr>
        <w:t>outsource </w:t>
      </w:r>
      <w:r>
        <w:rPr>
          <w:rFonts w:ascii="Calibri" w:eastAsia="Calibri"/>
          <w:spacing w:val="8"/>
        </w:rPr>
        <w:t> </w:t>
      </w:r>
      <w:r>
        <w:rPr/>
        <w:t>外包</w:t>
        <w:tab/>
      </w:r>
      <w:r>
        <w:rPr>
          <w:rFonts w:ascii="Calibri" w:eastAsia="Calibri"/>
        </w:rPr>
        <w:t>3.29</w:t>
      </w:r>
    </w:p>
    <w:p>
      <w:pPr>
        <w:pStyle w:val="BodyText"/>
        <w:tabs>
          <w:tab w:pos="9631" w:val="right" w:leader="none"/>
        </w:tabs>
        <w:ind w:left="278"/>
        <w:rPr>
          <w:rFonts w:ascii="Calibri" w:eastAsia="Calibri"/>
        </w:rPr>
      </w:pPr>
      <w:r>
        <w:rPr>
          <w:rFonts w:ascii="Calibri" w:eastAsia="Calibri"/>
        </w:rPr>
        <w:t>participation </w:t>
      </w:r>
      <w:r>
        <w:rPr>
          <w:rFonts w:ascii="Calibri" w:eastAsia="Calibri"/>
          <w:spacing w:val="10"/>
        </w:rPr>
        <w:t> </w:t>
      </w:r>
      <w:r>
        <w:rPr/>
        <w:t>参与</w:t>
        <w:tab/>
      </w:r>
      <w:r>
        <w:rPr>
          <w:rFonts w:ascii="Calibri" w:eastAsia="Calibri"/>
        </w:rPr>
        <w:t>3.4</w:t>
      </w:r>
    </w:p>
    <w:p>
      <w:pPr>
        <w:pStyle w:val="BodyText"/>
        <w:tabs>
          <w:tab w:pos="9631" w:val="right" w:leader="none"/>
        </w:tabs>
        <w:spacing w:before="42"/>
        <w:ind w:left="278"/>
        <w:rPr>
          <w:rFonts w:ascii="Calibri" w:eastAsia="Calibri"/>
        </w:rPr>
      </w:pPr>
      <w:r>
        <w:rPr>
          <w:rFonts w:ascii="Calibri" w:eastAsia="Calibri"/>
        </w:rPr>
        <w:t>performance </w:t>
      </w:r>
      <w:r>
        <w:rPr>
          <w:rFonts w:ascii="Calibri" w:eastAsia="Calibri"/>
          <w:spacing w:val="8"/>
        </w:rPr>
        <w:t> </w:t>
      </w:r>
      <w:r>
        <w:rPr/>
        <w:t>绩效</w:t>
        <w:tab/>
      </w:r>
      <w:r>
        <w:rPr>
          <w:rFonts w:ascii="Calibri" w:eastAsia="Calibri"/>
        </w:rPr>
        <w:t>3.27</w:t>
      </w:r>
    </w:p>
    <w:p>
      <w:pPr>
        <w:pStyle w:val="BodyText"/>
        <w:tabs>
          <w:tab w:pos="9631" w:val="right" w:leader="none"/>
        </w:tabs>
        <w:ind w:left="278"/>
        <w:rPr>
          <w:rFonts w:ascii="Calibri" w:eastAsia="Calibri"/>
        </w:rPr>
      </w:pPr>
      <w:r>
        <w:rPr>
          <w:rFonts w:ascii="Calibri" w:eastAsia="Calibri"/>
        </w:rPr>
        <w:t>policy </w:t>
      </w:r>
      <w:r>
        <w:rPr>
          <w:rFonts w:ascii="Calibri" w:eastAsia="Calibri"/>
          <w:spacing w:val="8"/>
        </w:rPr>
        <w:t> </w:t>
      </w:r>
      <w:r>
        <w:rPr/>
        <w:t>方针</w:t>
        <w:tab/>
      </w:r>
      <w:r>
        <w:rPr>
          <w:rFonts w:ascii="Calibri" w:eastAsia="Calibri"/>
        </w:rPr>
        <w:t>3.14</w:t>
      </w:r>
    </w:p>
    <w:p>
      <w:pPr>
        <w:pStyle w:val="BodyText"/>
        <w:tabs>
          <w:tab w:pos="9631" w:val="right" w:leader="none"/>
        </w:tabs>
        <w:ind w:left="278"/>
        <w:rPr>
          <w:rFonts w:ascii="Calibri" w:eastAsia="Calibri"/>
        </w:rPr>
      </w:pPr>
      <w:r>
        <w:rPr>
          <w:rFonts w:ascii="Calibri" w:eastAsia="Calibri"/>
        </w:rPr>
        <w:t>procedure </w:t>
      </w:r>
      <w:r>
        <w:rPr>
          <w:rFonts w:ascii="Calibri" w:eastAsia="Calibri"/>
          <w:spacing w:val="8"/>
        </w:rPr>
        <w:t> </w:t>
      </w:r>
      <w:r>
        <w:rPr/>
        <w:t>程序</w:t>
        <w:tab/>
      </w:r>
      <w:r>
        <w:rPr>
          <w:rFonts w:ascii="Calibri" w:eastAsia="Calibri"/>
        </w:rPr>
        <w:t>3.26</w:t>
      </w:r>
    </w:p>
    <w:p>
      <w:pPr>
        <w:pStyle w:val="BodyText"/>
        <w:tabs>
          <w:tab w:pos="9631" w:val="right" w:leader="none"/>
        </w:tabs>
        <w:ind w:left="278"/>
        <w:rPr>
          <w:rFonts w:ascii="Calibri" w:eastAsia="Calibri"/>
        </w:rPr>
      </w:pPr>
      <w:r>
        <w:rPr>
          <w:rFonts w:ascii="Calibri" w:eastAsia="Calibri"/>
        </w:rPr>
        <w:t>process </w:t>
      </w:r>
      <w:r>
        <w:rPr>
          <w:rFonts w:ascii="Calibri" w:eastAsia="Calibri"/>
          <w:spacing w:val="11"/>
        </w:rPr>
        <w:t> </w:t>
      </w:r>
      <w:r>
        <w:rPr/>
        <w:t>过程</w:t>
        <w:tab/>
      </w:r>
      <w:r>
        <w:rPr>
          <w:rFonts w:ascii="Calibri" w:eastAsia="Calibri"/>
        </w:rPr>
        <w:t>3.25</w:t>
      </w:r>
    </w:p>
    <w:p>
      <w:pPr>
        <w:spacing w:after="0"/>
        <w:rPr>
          <w:rFonts w:ascii="Calibri" w:eastAsia="Calibri"/>
        </w:rPr>
        <w:sectPr>
          <w:pgSz w:w="11910" w:h="16840"/>
          <w:pgMar w:header="1442" w:footer="850" w:top="1660" w:bottom="1040" w:left="1140" w:right="740"/>
        </w:sectPr>
      </w:pPr>
    </w:p>
    <w:p>
      <w:pPr>
        <w:pStyle w:val="BodyText"/>
        <w:tabs>
          <w:tab w:pos="9367" w:val="left" w:leader="none"/>
        </w:tabs>
        <w:spacing w:before="157"/>
        <w:ind w:left="278"/>
        <w:rPr>
          <w:rFonts w:ascii="Calibri" w:eastAsia="Calibri"/>
        </w:rPr>
      </w:pPr>
      <w:r>
        <w:rPr>
          <w:rFonts w:ascii="Calibri" w:eastAsia="Calibri"/>
        </w:rPr>
        <w:t>requirement </w:t>
      </w:r>
      <w:r>
        <w:rPr>
          <w:rFonts w:ascii="Calibri" w:eastAsia="Calibri"/>
          <w:spacing w:val="2"/>
        </w:rPr>
        <w:t> </w:t>
      </w:r>
      <w:r>
        <w:rPr/>
        <w:t>要求</w:t>
        <w:tab/>
      </w:r>
      <w:r>
        <w:rPr>
          <w:rFonts w:ascii="Calibri" w:eastAsia="Calibri"/>
        </w:rPr>
        <w:t>3.8</w:t>
      </w:r>
    </w:p>
    <w:p>
      <w:pPr>
        <w:pStyle w:val="BodyText"/>
        <w:tabs>
          <w:tab w:pos="9261" w:val="left" w:leader="none"/>
        </w:tabs>
        <w:ind w:left="278"/>
        <w:rPr>
          <w:rFonts w:ascii="Calibri" w:eastAsia="Calibri"/>
        </w:rPr>
      </w:pPr>
      <w:r>
        <w:rPr>
          <w:rFonts w:ascii="Calibri" w:eastAsia="Calibri"/>
        </w:rPr>
        <w:t>risk </w:t>
      </w:r>
      <w:r>
        <w:rPr>
          <w:rFonts w:ascii="Calibri" w:eastAsia="Calibri"/>
          <w:spacing w:val="8"/>
        </w:rPr>
        <w:t> </w:t>
      </w:r>
      <w:r>
        <w:rPr/>
        <w:t>风险</w:t>
        <w:tab/>
      </w:r>
      <w:r>
        <w:rPr>
          <w:rFonts w:ascii="Calibri" w:eastAsia="Calibri"/>
        </w:rPr>
        <w:t>3.20</w:t>
      </w:r>
    </w:p>
    <w:p>
      <w:pPr>
        <w:pStyle w:val="BodyText"/>
        <w:tabs>
          <w:tab w:pos="9367" w:val="left" w:leader="none"/>
        </w:tabs>
        <w:ind w:left="278"/>
        <w:rPr>
          <w:rFonts w:ascii="Calibri" w:eastAsia="Calibri"/>
        </w:rPr>
      </w:pPr>
      <w:r>
        <w:rPr>
          <w:rFonts w:ascii="Calibri" w:eastAsia="Calibri"/>
        </w:rPr>
        <w:t>stakeholder  </w:t>
      </w:r>
      <w:r>
        <w:rPr/>
        <w:t>利益相关方</w:t>
        <w:tab/>
      </w:r>
      <w:r>
        <w:rPr>
          <w:rFonts w:ascii="Calibri" w:eastAsia="Calibri"/>
        </w:rPr>
        <w:t>3.2</w:t>
      </w:r>
    </w:p>
    <w:p>
      <w:pPr>
        <w:pStyle w:val="BodyText"/>
        <w:tabs>
          <w:tab w:pos="9261" w:val="left" w:leader="none"/>
        </w:tabs>
        <w:ind w:left="278"/>
        <w:rPr>
          <w:rFonts w:ascii="Calibri" w:eastAsia="Calibri"/>
        </w:rPr>
      </w:pPr>
      <w:r>
        <w:rPr>
          <w:rFonts w:ascii="Calibri" w:eastAsia="Calibri"/>
        </w:rPr>
        <w:t>top</w:t>
      </w:r>
      <w:r>
        <w:rPr>
          <w:rFonts w:ascii="Calibri" w:eastAsia="Calibri"/>
          <w:spacing w:val="-5"/>
        </w:rPr>
        <w:t> </w:t>
      </w:r>
      <w:r>
        <w:rPr>
          <w:rFonts w:ascii="Calibri" w:eastAsia="Calibri"/>
        </w:rPr>
        <w:t>management </w:t>
      </w:r>
      <w:r>
        <w:rPr>
          <w:rFonts w:ascii="Calibri" w:eastAsia="Calibri"/>
          <w:spacing w:val="6"/>
        </w:rPr>
        <w:t> </w:t>
      </w:r>
      <w:r>
        <w:rPr/>
        <w:t>最高管理者</w:t>
        <w:tab/>
      </w:r>
      <w:r>
        <w:rPr>
          <w:rFonts w:ascii="Calibri" w:eastAsia="Calibri"/>
        </w:rPr>
        <w:t>3.12</w:t>
      </w:r>
    </w:p>
    <w:p>
      <w:pPr>
        <w:pStyle w:val="BodyText"/>
        <w:tabs>
          <w:tab w:pos="9367" w:val="left" w:leader="none"/>
        </w:tabs>
        <w:ind w:left="278"/>
        <w:rPr>
          <w:rFonts w:ascii="Calibri" w:eastAsia="Calibri"/>
        </w:rPr>
      </w:pPr>
      <w:r>
        <w:rPr>
          <w:rFonts w:ascii="Calibri" w:eastAsia="Calibri"/>
        </w:rPr>
        <w:t>worker </w:t>
      </w:r>
      <w:r>
        <w:rPr>
          <w:rFonts w:ascii="Calibri" w:eastAsia="Calibri"/>
          <w:spacing w:val="2"/>
        </w:rPr>
        <w:t> </w:t>
      </w:r>
      <w:r>
        <w:rPr/>
        <w:t>工作人员</w:t>
        <w:tab/>
      </w:r>
      <w:r>
        <w:rPr>
          <w:rFonts w:ascii="Calibri" w:eastAsia="Calibri"/>
        </w:rPr>
        <w:t>3.3</w:t>
      </w:r>
    </w:p>
    <w:p>
      <w:pPr>
        <w:pStyle w:val="BodyText"/>
        <w:tabs>
          <w:tab w:pos="9367" w:val="left" w:leader="none"/>
        </w:tabs>
        <w:ind w:left="278"/>
        <w:rPr>
          <w:rFonts w:ascii="Calibri" w:eastAsia="Calibri"/>
        </w:rPr>
      </w:pPr>
      <w:r>
        <w:rPr>
          <w:rFonts w:ascii="Calibri" w:eastAsia="Calibri"/>
        </w:rPr>
        <w:t>workplace </w:t>
      </w:r>
      <w:r>
        <w:rPr>
          <w:rFonts w:ascii="Calibri" w:eastAsia="Calibri"/>
          <w:spacing w:val="5"/>
        </w:rPr>
        <w:t> </w:t>
      </w:r>
      <w:r>
        <w:rPr/>
        <w:t>工作场所</w:t>
        <w:tab/>
      </w:r>
      <w:r>
        <w:rPr>
          <w:rFonts w:ascii="Calibri" w:eastAsia="Calibri"/>
        </w:rPr>
        <w:t>3.6</w:t>
      </w: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0"/>
        <w:rPr>
          <w:rFonts w:ascii="Calibri"/>
          <w:sz w:val="24"/>
        </w:rPr>
      </w:pPr>
    </w:p>
    <w:p>
      <w:pPr>
        <w:pStyle w:val="BodyText"/>
        <w:spacing w:before="6"/>
        <w:rPr>
          <w:rFonts w:ascii="Calibri"/>
          <w:sz w:val="19"/>
        </w:rPr>
      </w:pPr>
    </w:p>
    <w:p>
      <w:pPr>
        <w:pStyle w:val="BodyText"/>
        <w:spacing w:before="0"/>
        <w:ind w:left="2378" w:right="2091"/>
        <w:jc w:val="center"/>
        <w:rPr>
          <w:rFonts w:ascii="Times New Roman" w:eastAsia="Times New Roman"/>
        </w:rPr>
      </w:pPr>
      <w:r>
        <w:rPr>
          <w:color w:val="FF0000"/>
        </w:rPr>
        <w:t>中高级职称评审，联系人：张老师 </w:t>
      </w:r>
      <w:r>
        <w:rPr>
          <w:rFonts w:ascii="Times New Roman" w:eastAsia="Times New Roman"/>
          <w:color w:val="FF0000"/>
        </w:rPr>
        <w:t>15674292811</w:t>
      </w:r>
    </w:p>
    <w:p>
      <w:pPr>
        <w:spacing w:after="0"/>
        <w:jc w:val="center"/>
        <w:rPr>
          <w:rFonts w:ascii="Times New Roman" w:eastAsia="Times New Roman"/>
        </w:rPr>
        <w:sectPr>
          <w:pgSz w:w="11910" w:h="16840"/>
          <w:pgMar w:header="1442" w:footer="850" w:top="1660" w:bottom="1040" w:left="1140" w:right="740"/>
        </w:sect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3"/>
        </w:rPr>
      </w:pPr>
    </w:p>
    <w:p>
      <w:pPr>
        <w:pStyle w:val="BodyText"/>
        <w:spacing w:before="70"/>
        <w:ind w:left="2215" w:right="2445"/>
        <w:jc w:val="center"/>
        <w:rPr>
          <w:rFonts w:ascii="黑体" w:eastAsia="黑体" w:hint="eastAsia"/>
        </w:rPr>
      </w:pPr>
      <w:bookmarkStart w:name="_bookmark62" w:id="273"/>
      <w:bookmarkEnd w:id="273"/>
      <w:r>
        <w:rPr/>
      </w:r>
      <w:r>
        <w:rPr>
          <w:rFonts w:ascii="黑体" w:eastAsia="黑体" w:hint="eastAsia"/>
        </w:rPr>
        <w:t>按汉语拼音字母顺序排列的术语索引</w:t>
      </w:r>
    </w:p>
    <w:p>
      <w:pPr>
        <w:pStyle w:val="BodyText"/>
        <w:tabs>
          <w:tab w:pos="9792" w:val="right" w:leader="none"/>
        </w:tabs>
        <w:spacing w:before="242"/>
        <w:ind w:left="117"/>
        <w:rPr>
          <w:rFonts w:ascii="Calibri" w:eastAsia="Calibri"/>
        </w:rPr>
      </w:pPr>
      <w:r>
        <w:rPr/>
        <w:t>不符合</w:t>
      </w:r>
      <w:r>
        <w:rPr>
          <w:spacing w:val="-1"/>
        </w:rPr>
        <w:t> </w:t>
      </w:r>
      <w:r>
        <w:rPr>
          <w:rFonts w:ascii="Calibri" w:eastAsia="Calibri"/>
        </w:rPr>
        <w:t>nonconformity</w:t>
        <w:tab/>
        <w:t>3.34</w:t>
      </w:r>
    </w:p>
    <w:p>
      <w:pPr>
        <w:pStyle w:val="BodyText"/>
        <w:tabs>
          <w:tab w:pos="9792" w:val="right" w:leader="none"/>
        </w:tabs>
        <w:ind w:left="117"/>
        <w:rPr>
          <w:rFonts w:ascii="Calibri" w:eastAsia="Calibri"/>
        </w:rPr>
      </w:pPr>
      <w:r>
        <w:rPr/>
        <w:t>参与</w:t>
      </w:r>
      <w:r>
        <w:rPr>
          <w:spacing w:val="1"/>
        </w:rPr>
        <w:t> </w:t>
      </w:r>
      <w:r>
        <w:rPr>
          <w:rFonts w:ascii="Calibri" w:eastAsia="Calibri"/>
        </w:rPr>
        <w:t>participation</w:t>
        <w:tab/>
        <w:t>3.4</w:t>
      </w:r>
    </w:p>
    <w:p>
      <w:pPr>
        <w:pStyle w:val="BodyText"/>
        <w:tabs>
          <w:tab w:pos="9792" w:val="right" w:leader="none"/>
        </w:tabs>
        <w:ind w:left="117"/>
        <w:rPr>
          <w:rFonts w:ascii="Calibri" w:eastAsia="Calibri"/>
        </w:rPr>
      </w:pPr>
      <w:r>
        <w:rPr/>
        <w:t>测量</w:t>
      </w:r>
      <w:r>
        <w:rPr>
          <w:spacing w:val="1"/>
        </w:rPr>
        <w:t> </w:t>
      </w:r>
      <w:r>
        <w:rPr>
          <w:rFonts w:ascii="Calibri" w:eastAsia="Calibri"/>
        </w:rPr>
        <w:t>measurement</w:t>
        <w:tab/>
        <w:t>3.31</w:t>
      </w:r>
    </w:p>
    <w:p>
      <w:pPr>
        <w:pStyle w:val="BodyText"/>
        <w:tabs>
          <w:tab w:pos="9792" w:val="right" w:leader="none"/>
        </w:tabs>
        <w:ind w:left="117"/>
        <w:rPr>
          <w:rFonts w:ascii="Calibri" w:eastAsia="Calibri"/>
        </w:rPr>
      </w:pPr>
      <w:r>
        <w:rPr/>
        <w:t>承包方</w:t>
      </w:r>
      <w:r>
        <w:rPr>
          <w:spacing w:val="-1"/>
        </w:rPr>
        <w:t> </w:t>
      </w:r>
      <w:r>
        <w:rPr>
          <w:rFonts w:ascii="Calibri" w:eastAsia="Calibri"/>
        </w:rPr>
        <w:t>contractor</w:t>
        <w:tab/>
        <w:t>3.7</w:t>
      </w:r>
    </w:p>
    <w:p>
      <w:pPr>
        <w:pStyle w:val="BodyText"/>
        <w:tabs>
          <w:tab w:pos="9792" w:val="right" w:leader="none"/>
        </w:tabs>
        <w:ind w:left="117"/>
        <w:rPr>
          <w:rFonts w:ascii="Calibri" w:eastAsia="Calibri"/>
        </w:rPr>
      </w:pPr>
      <w:r>
        <w:rPr/>
        <w:t>程序</w:t>
      </w:r>
      <w:r>
        <w:rPr>
          <w:spacing w:val="1"/>
        </w:rPr>
        <w:t> </w:t>
      </w:r>
      <w:r>
        <w:rPr>
          <w:rFonts w:ascii="Calibri" w:eastAsia="Calibri"/>
        </w:rPr>
        <w:t>procedure</w:t>
        <w:tab/>
        <w:t>3.26</w:t>
      </w:r>
    </w:p>
    <w:p>
      <w:pPr>
        <w:pStyle w:val="BodyText"/>
        <w:tabs>
          <w:tab w:pos="9792" w:val="right" w:leader="none"/>
        </w:tabs>
        <w:spacing w:before="42"/>
        <w:ind w:left="117"/>
        <w:rPr>
          <w:rFonts w:ascii="Calibri" w:eastAsia="Calibri"/>
        </w:rPr>
      </w:pPr>
      <w:r>
        <w:rPr/>
        <w:t>持续改进</w:t>
      </w:r>
      <w:r>
        <w:rPr>
          <w:spacing w:val="1"/>
        </w:rPr>
        <w:t> </w:t>
      </w:r>
      <w:r>
        <w:rPr>
          <w:rFonts w:ascii="Calibri" w:eastAsia="Calibri"/>
        </w:rPr>
        <w:t>continual</w:t>
      </w:r>
      <w:r>
        <w:rPr>
          <w:rFonts w:ascii="Calibri" w:eastAsia="Calibri"/>
          <w:spacing w:val="-2"/>
        </w:rPr>
        <w:t> </w:t>
      </w:r>
      <w:r>
        <w:rPr>
          <w:rFonts w:ascii="Calibri" w:eastAsia="Calibri"/>
        </w:rPr>
        <w:t>improvement</w:t>
        <w:tab/>
        <w:t>3.37</w:t>
      </w:r>
    </w:p>
    <w:p>
      <w:pPr>
        <w:pStyle w:val="BodyText"/>
        <w:tabs>
          <w:tab w:pos="9792" w:val="right" w:leader="none"/>
        </w:tabs>
        <w:ind w:left="117"/>
        <w:rPr>
          <w:rFonts w:ascii="Calibri" w:eastAsia="Calibri"/>
        </w:rPr>
      </w:pPr>
      <w:r>
        <w:rPr/>
        <w:t>法律法规要求和其他要求</w:t>
      </w:r>
      <w:r>
        <w:rPr>
          <w:spacing w:val="-2"/>
        </w:rPr>
        <w:t> </w:t>
      </w:r>
      <w:r>
        <w:rPr>
          <w:rFonts w:ascii="Calibri" w:eastAsia="Calibri"/>
        </w:rPr>
        <w:t>legal</w:t>
      </w:r>
      <w:r>
        <w:rPr>
          <w:rFonts w:ascii="Calibri" w:eastAsia="Calibri"/>
          <w:spacing w:val="-2"/>
        </w:rPr>
        <w:t> </w:t>
      </w:r>
      <w:r>
        <w:rPr>
          <w:rFonts w:ascii="Calibri" w:eastAsia="Calibri"/>
        </w:rPr>
        <w:t>requirements</w:t>
      </w:r>
      <w:r>
        <w:rPr>
          <w:rFonts w:ascii="Calibri" w:eastAsia="Calibri"/>
          <w:spacing w:val="-1"/>
        </w:rPr>
        <w:t> </w:t>
      </w:r>
      <w:r>
        <w:rPr>
          <w:rFonts w:ascii="Calibri" w:eastAsia="Calibri"/>
        </w:rPr>
        <w:t>and</w:t>
      </w:r>
      <w:r>
        <w:rPr>
          <w:rFonts w:ascii="Calibri" w:eastAsia="Calibri"/>
          <w:spacing w:val="-2"/>
        </w:rPr>
        <w:t> </w:t>
      </w:r>
      <w:r>
        <w:rPr>
          <w:rFonts w:ascii="Calibri" w:eastAsia="Calibri"/>
        </w:rPr>
        <w:t>other</w:t>
      </w:r>
      <w:r>
        <w:rPr>
          <w:rFonts w:ascii="Calibri" w:eastAsia="Calibri"/>
          <w:spacing w:val="3"/>
        </w:rPr>
        <w:t> </w:t>
      </w:r>
      <w:r>
        <w:rPr>
          <w:rFonts w:ascii="Calibri" w:eastAsia="Calibri"/>
        </w:rPr>
        <w:t>requirements</w:t>
        <w:tab/>
        <w:t>3.9</w:t>
      </w:r>
    </w:p>
    <w:p>
      <w:pPr>
        <w:pStyle w:val="BodyText"/>
        <w:tabs>
          <w:tab w:pos="9792" w:val="right" w:leader="none"/>
        </w:tabs>
        <w:ind w:left="117"/>
        <w:rPr>
          <w:rFonts w:ascii="Calibri" w:eastAsia="Calibri"/>
        </w:rPr>
      </w:pPr>
      <w:r>
        <w:rPr/>
        <w:t>方针</w:t>
      </w:r>
      <w:r>
        <w:rPr>
          <w:spacing w:val="1"/>
        </w:rPr>
        <w:t> </w:t>
      </w:r>
      <w:r>
        <w:rPr>
          <w:rFonts w:ascii="Calibri" w:eastAsia="Calibri"/>
        </w:rPr>
        <w:t>policy</w:t>
        <w:tab/>
        <w:t>3.14</w:t>
      </w:r>
    </w:p>
    <w:p>
      <w:pPr>
        <w:pStyle w:val="BodyText"/>
        <w:tabs>
          <w:tab w:pos="9792" w:val="right" w:leader="none"/>
        </w:tabs>
        <w:ind w:left="117"/>
        <w:rPr>
          <w:rFonts w:ascii="Calibri" w:eastAsia="Calibri"/>
        </w:rPr>
      </w:pPr>
      <w:r>
        <w:rPr/>
        <w:t>风险</w:t>
      </w:r>
      <w:r>
        <w:rPr>
          <w:spacing w:val="1"/>
        </w:rPr>
        <w:t> </w:t>
      </w:r>
      <w:r>
        <w:rPr>
          <w:rFonts w:ascii="Calibri" w:eastAsia="Calibri"/>
        </w:rPr>
        <w:t>risk</w:t>
        <w:tab/>
        <w:t>3.20</w:t>
      </w:r>
    </w:p>
    <w:p>
      <w:pPr>
        <w:pStyle w:val="BodyText"/>
        <w:tabs>
          <w:tab w:pos="9792" w:val="right" w:leader="none"/>
        </w:tabs>
        <w:ind w:left="117"/>
        <w:rPr>
          <w:rFonts w:ascii="Calibri" w:eastAsia="Calibri"/>
        </w:rPr>
      </w:pPr>
      <w:r>
        <w:rPr/>
        <w:t>符合</w:t>
      </w:r>
      <w:r>
        <w:rPr>
          <w:spacing w:val="1"/>
        </w:rPr>
        <w:t> </w:t>
      </w:r>
      <w:r>
        <w:rPr>
          <w:rFonts w:ascii="Calibri" w:eastAsia="Calibri"/>
        </w:rPr>
        <w:t>conformity</w:t>
        <w:tab/>
        <w:t>3.33</w:t>
      </w:r>
    </w:p>
    <w:p>
      <w:pPr>
        <w:pStyle w:val="BodyText"/>
        <w:tabs>
          <w:tab w:pos="9792" w:val="right" w:leader="none"/>
        </w:tabs>
        <w:ind w:left="117"/>
        <w:rPr>
          <w:rFonts w:ascii="Calibri" w:eastAsia="Calibri"/>
        </w:rPr>
      </w:pPr>
      <w:r>
        <w:rPr/>
        <w:t>工作场所</w:t>
      </w:r>
      <w:r>
        <w:rPr>
          <w:spacing w:val="1"/>
        </w:rPr>
        <w:t> </w:t>
      </w:r>
      <w:r>
        <w:rPr>
          <w:rFonts w:ascii="Calibri" w:eastAsia="Calibri"/>
        </w:rPr>
        <w:t>workplace</w:t>
        <w:tab/>
        <w:t>3.6</w:t>
      </w:r>
    </w:p>
    <w:p>
      <w:pPr>
        <w:pStyle w:val="BodyText"/>
        <w:tabs>
          <w:tab w:pos="9792" w:val="right" w:leader="none"/>
        </w:tabs>
        <w:ind w:left="117"/>
        <w:rPr>
          <w:rFonts w:ascii="Calibri" w:eastAsia="Calibri"/>
        </w:rPr>
      </w:pPr>
      <w:r>
        <w:rPr/>
        <w:t>工作人员</w:t>
      </w:r>
      <w:r>
        <w:rPr>
          <w:spacing w:val="1"/>
        </w:rPr>
        <w:t> </w:t>
      </w:r>
      <w:r>
        <w:rPr>
          <w:rFonts w:ascii="Calibri" w:eastAsia="Calibri"/>
        </w:rPr>
        <w:t>worker</w:t>
        <w:tab/>
        <w:t>3.3</w:t>
      </w:r>
    </w:p>
    <w:p>
      <w:pPr>
        <w:pStyle w:val="BodyText"/>
        <w:tabs>
          <w:tab w:pos="9792" w:val="right" w:leader="none"/>
        </w:tabs>
        <w:ind w:left="117"/>
        <w:rPr>
          <w:rFonts w:ascii="Calibri" w:eastAsia="Calibri"/>
        </w:rPr>
      </w:pPr>
      <w:r>
        <w:rPr/>
        <w:t>管理体系</w:t>
      </w:r>
      <w:r>
        <w:rPr>
          <w:spacing w:val="1"/>
        </w:rPr>
        <w:t> </w:t>
      </w:r>
      <w:r>
        <w:rPr>
          <w:rFonts w:ascii="Calibri" w:eastAsia="Calibri"/>
        </w:rPr>
        <w:t>management</w:t>
      </w:r>
      <w:r>
        <w:rPr>
          <w:rFonts w:ascii="Calibri" w:eastAsia="Calibri"/>
          <w:spacing w:val="-3"/>
        </w:rPr>
        <w:t> </w:t>
      </w:r>
      <w:r>
        <w:rPr>
          <w:rFonts w:ascii="Calibri" w:eastAsia="Calibri"/>
        </w:rPr>
        <w:t>system</w:t>
        <w:tab/>
        <w:t>3.10</w:t>
      </w:r>
    </w:p>
    <w:p>
      <w:pPr>
        <w:pStyle w:val="BodyText"/>
        <w:tabs>
          <w:tab w:pos="9792" w:val="right" w:leader="none"/>
        </w:tabs>
        <w:ind w:left="117"/>
        <w:rPr>
          <w:rFonts w:ascii="Calibri" w:eastAsia="Calibri"/>
        </w:rPr>
      </w:pPr>
      <w:r>
        <w:rPr/>
        <w:t>过程</w:t>
      </w:r>
      <w:r>
        <w:rPr>
          <w:spacing w:val="1"/>
        </w:rPr>
        <w:t> </w:t>
      </w:r>
      <w:r>
        <w:rPr>
          <w:rFonts w:ascii="Calibri" w:eastAsia="Calibri"/>
        </w:rPr>
        <w:t>process</w:t>
        <w:tab/>
        <w:t>3.25</w:t>
      </w:r>
    </w:p>
    <w:p>
      <w:pPr>
        <w:pStyle w:val="BodyText"/>
        <w:tabs>
          <w:tab w:pos="9792" w:val="right" w:leader="none"/>
        </w:tabs>
        <w:ind w:left="117"/>
        <w:rPr>
          <w:rFonts w:ascii="Calibri" w:eastAsia="Calibri"/>
        </w:rPr>
      </w:pPr>
      <w:r>
        <w:rPr/>
        <w:t>绩效</w:t>
      </w:r>
      <w:r>
        <w:rPr>
          <w:spacing w:val="1"/>
        </w:rPr>
        <w:t> </w:t>
      </w:r>
      <w:r>
        <w:rPr>
          <w:rFonts w:ascii="Calibri" w:eastAsia="Calibri"/>
        </w:rPr>
        <w:t>performance</w:t>
        <w:tab/>
        <w:t>3.27</w:t>
      </w:r>
    </w:p>
    <w:p>
      <w:pPr>
        <w:pStyle w:val="BodyText"/>
        <w:tabs>
          <w:tab w:pos="9792" w:val="right" w:leader="none"/>
        </w:tabs>
        <w:ind w:left="117"/>
        <w:rPr>
          <w:rFonts w:ascii="Calibri" w:eastAsia="Calibri"/>
        </w:rPr>
      </w:pPr>
      <w:r>
        <w:rPr/>
        <w:t>监视</w:t>
      </w:r>
      <w:r>
        <w:rPr>
          <w:spacing w:val="1"/>
        </w:rPr>
        <w:t> </w:t>
      </w:r>
      <w:r>
        <w:rPr>
          <w:rFonts w:ascii="Calibri" w:eastAsia="Calibri"/>
        </w:rPr>
        <w:t>monitoring</w:t>
        <w:tab/>
        <w:t>3.30</w:t>
      </w:r>
    </w:p>
    <w:p>
      <w:pPr>
        <w:pStyle w:val="BodyText"/>
        <w:tabs>
          <w:tab w:pos="9792" w:val="right" w:leader="none"/>
        </w:tabs>
        <w:ind w:left="117"/>
        <w:rPr>
          <w:rFonts w:ascii="Calibri" w:eastAsia="Calibri"/>
        </w:rPr>
      </w:pPr>
      <w:r>
        <w:rPr/>
        <w:t>纠正措施</w:t>
      </w:r>
      <w:r>
        <w:rPr>
          <w:spacing w:val="1"/>
        </w:rPr>
        <w:t> </w:t>
      </w:r>
      <w:r>
        <w:rPr>
          <w:rFonts w:ascii="Calibri" w:eastAsia="Calibri"/>
        </w:rPr>
        <w:t>corrective</w:t>
      </w:r>
      <w:r>
        <w:rPr>
          <w:rFonts w:ascii="Calibri" w:eastAsia="Calibri"/>
          <w:spacing w:val="-1"/>
        </w:rPr>
        <w:t> </w:t>
      </w:r>
      <w:r>
        <w:rPr>
          <w:rFonts w:ascii="Calibri" w:eastAsia="Calibri"/>
        </w:rPr>
        <w:t>action</w:t>
        <w:tab/>
        <w:t>3.36</w:t>
      </w:r>
    </w:p>
    <w:p>
      <w:pPr>
        <w:pStyle w:val="BodyText"/>
        <w:tabs>
          <w:tab w:pos="9792" w:val="right" w:leader="none"/>
        </w:tabs>
        <w:ind w:left="117"/>
        <w:rPr>
          <w:rFonts w:ascii="Calibri" w:eastAsia="Calibri"/>
        </w:rPr>
      </w:pPr>
      <w:r>
        <w:rPr/>
        <w:t>利益相关方</w:t>
      </w:r>
      <w:r>
        <w:rPr>
          <w:spacing w:val="-1"/>
        </w:rPr>
        <w:t> </w:t>
      </w:r>
      <w:r>
        <w:rPr>
          <w:rFonts w:ascii="Calibri" w:eastAsia="Calibri"/>
        </w:rPr>
        <w:t>stakeholder</w:t>
        <w:tab/>
        <w:t>3.2</w:t>
      </w:r>
    </w:p>
    <w:p>
      <w:pPr>
        <w:pStyle w:val="BodyText"/>
        <w:tabs>
          <w:tab w:pos="9792" w:val="right" w:leader="none"/>
        </w:tabs>
        <w:ind w:left="117"/>
        <w:rPr>
          <w:rFonts w:ascii="Calibri" w:eastAsia="Calibri"/>
        </w:rPr>
      </w:pPr>
      <w:r>
        <w:rPr/>
        <w:t>目标</w:t>
      </w:r>
      <w:r>
        <w:rPr>
          <w:spacing w:val="1"/>
        </w:rPr>
        <w:t> </w:t>
      </w:r>
      <w:r>
        <w:rPr>
          <w:rFonts w:ascii="Calibri" w:eastAsia="Calibri"/>
        </w:rPr>
        <w:t>objective</w:t>
        <w:tab/>
        <w:t>3.16</w:t>
      </w:r>
    </w:p>
    <w:p>
      <w:pPr>
        <w:pStyle w:val="BodyText"/>
        <w:tabs>
          <w:tab w:pos="9792" w:val="right" w:leader="none"/>
        </w:tabs>
        <w:ind w:left="117"/>
        <w:rPr>
          <w:rFonts w:ascii="Calibri" w:eastAsia="Calibri"/>
        </w:rPr>
      </w:pPr>
      <w:r>
        <w:rPr/>
        <w:t>能力</w:t>
      </w:r>
      <w:r>
        <w:rPr>
          <w:spacing w:val="1"/>
        </w:rPr>
        <w:t> </w:t>
      </w:r>
      <w:r>
        <w:rPr>
          <w:rFonts w:ascii="Calibri" w:eastAsia="Calibri"/>
        </w:rPr>
        <w:t>competence</w:t>
        <w:tab/>
        <w:t>3.23</w:t>
      </w:r>
    </w:p>
    <w:p>
      <w:pPr>
        <w:pStyle w:val="BodyText"/>
        <w:tabs>
          <w:tab w:pos="9792" w:val="right" w:leader="none"/>
        </w:tabs>
        <w:ind w:left="117"/>
        <w:rPr>
          <w:rFonts w:ascii="Calibri" w:eastAsia="Calibri"/>
        </w:rPr>
      </w:pPr>
      <w:r>
        <w:rPr/>
        <w:t>伤害和健康损害</w:t>
      </w:r>
      <w:r>
        <w:rPr>
          <w:spacing w:val="-1"/>
        </w:rPr>
        <w:t> </w:t>
      </w:r>
      <w:r>
        <w:rPr>
          <w:rFonts w:ascii="Calibri" w:eastAsia="Calibri"/>
        </w:rPr>
        <w:t>injury</w:t>
      </w:r>
      <w:r>
        <w:rPr>
          <w:rFonts w:ascii="Calibri" w:eastAsia="Calibri"/>
          <w:spacing w:val="1"/>
        </w:rPr>
        <w:t> </w:t>
      </w:r>
      <w:r>
        <w:rPr>
          <w:rFonts w:ascii="Calibri" w:eastAsia="Calibri"/>
        </w:rPr>
        <w:t>and</w:t>
      </w:r>
      <w:r>
        <w:rPr>
          <w:rFonts w:ascii="Calibri" w:eastAsia="Calibri"/>
          <w:spacing w:val="1"/>
        </w:rPr>
        <w:t> </w:t>
      </w:r>
      <w:r>
        <w:rPr>
          <w:rFonts w:ascii="Calibri" w:eastAsia="Calibri"/>
        </w:rPr>
        <w:t>ill health</w:t>
        <w:tab/>
        <w:t>3.18</w:t>
      </w:r>
    </w:p>
    <w:p>
      <w:pPr>
        <w:pStyle w:val="BodyText"/>
        <w:tabs>
          <w:tab w:pos="9792" w:val="right" w:leader="none"/>
        </w:tabs>
        <w:spacing w:before="42"/>
        <w:ind w:left="117"/>
        <w:rPr>
          <w:rFonts w:ascii="Calibri" w:eastAsia="Calibri"/>
        </w:rPr>
      </w:pPr>
      <w:r>
        <w:rPr/>
        <w:t>审核</w:t>
      </w:r>
      <w:r>
        <w:rPr>
          <w:spacing w:val="1"/>
        </w:rPr>
        <w:t> </w:t>
      </w:r>
      <w:r>
        <w:rPr>
          <w:rFonts w:ascii="Calibri" w:eastAsia="Calibri"/>
        </w:rPr>
        <w:t>audit</w:t>
        <w:tab/>
        <w:t>3.32</w:t>
      </w:r>
    </w:p>
    <w:p>
      <w:pPr>
        <w:pStyle w:val="BodyText"/>
        <w:tabs>
          <w:tab w:pos="9792" w:val="right" w:leader="none"/>
        </w:tabs>
        <w:ind w:left="117"/>
        <w:rPr>
          <w:rFonts w:ascii="Calibri" w:eastAsia="Calibri"/>
        </w:rPr>
      </w:pPr>
      <w:r>
        <w:rPr/>
        <w:t>事件</w:t>
      </w:r>
      <w:r>
        <w:rPr>
          <w:spacing w:val="-51"/>
        </w:rPr>
        <w:t> </w:t>
      </w:r>
      <w:r>
        <w:rPr>
          <w:rFonts w:ascii="Calibri" w:eastAsia="Calibri"/>
        </w:rPr>
        <w:t>incident</w:t>
        <w:tab/>
        <w:t>3.35</w:t>
      </w:r>
    </w:p>
    <w:p>
      <w:pPr>
        <w:pStyle w:val="BodyText"/>
        <w:tabs>
          <w:tab w:pos="9792" w:val="right" w:leader="none"/>
        </w:tabs>
        <w:ind w:left="117"/>
        <w:rPr>
          <w:rFonts w:ascii="Calibri" w:eastAsia="Calibri"/>
        </w:rPr>
      </w:pPr>
      <w:r>
        <w:rPr/>
        <w:t>外包</w:t>
      </w:r>
      <w:r>
        <w:rPr>
          <w:spacing w:val="1"/>
        </w:rPr>
        <w:t> </w:t>
      </w:r>
      <w:r>
        <w:rPr>
          <w:rFonts w:ascii="Calibri" w:eastAsia="Calibri"/>
        </w:rPr>
        <w:t>outsource</w:t>
        <w:tab/>
        <w:t>3.29</w:t>
      </w:r>
    </w:p>
    <w:p>
      <w:pPr>
        <w:pStyle w:val="BodyText"/>
        <w:tabs>
          <w:tab w:pos="9792" w:val="right" w:leader="none"/>
        </w:tabs>
        <w:ind w:left="117"/>
        <w:rPr>
          <w:rFonts w:ascii="Calibri" w:eastAsia="Calibri"/>
        </w:rPr>
      </w:pPr>
      <w:r>
        <w:rPr/>
        <w:t>危害来源</w:t>
      </w:r>
      <w:r>
        <w:rPr>
          <w:spacing w:val="1"/>
        </w:rPr>
        <w:t> </w:t>
      </w:r>
      <w:r>
        <w:rPr>
          <w:rFonts w:ascii="Calibri" w:eastAsia="Calibri"/>
        </w:rPr>
        <w:t>hazard</w:t>
        <w:tab/>
        <w:t>3.19</w:t>
      </w:r>
    </w:p>
    <w:p>
      <w:pPr>
        <w:pStyle w:val="BodyText"/>
        <w:tabs>
          <w:tab w:pos="9792" w:val="right" w:leader="none"/>
        </w:tabs>
        <w:ind w:left="117"/>
        <w:rPr>
          <w:rFonts w:ascii="Calibri" w:eastAsia="Calibri"/>
        </w:rPr>
      </w:pPr>
      <w:r>
        <w:rPr/>
        <w:t>危害因素</w:t>
      </w:r>
      <w:r>
        <w:rPr>
          <w:spacing w:val="-51"/>
        </w:rPr>
        <w:t> </w:t>
      </w:r>
      <w:r>
        <w:rPr>
          <w:rFonts w:ascii="Calibri" w:eastAsia="Calibri"/>
        </w:rPr>
        <w:t>hazard</w:t>
        <w:tab/>
        <w:t>3.19</w:t>
      </w:r>
    </w:p>
    <w:p>
      <w:pPr>
        <w:pStyle w:val="BodyText"/>
        <w:tabs>
          <w:tab w:pos="9792" w:val="right" w:leader="none"/>
        </w:tabs>
        <w:ind w:left="117"/>
        <w:rPr>
          <w:rFonts w:ascii="Calibri" w:eastAsia="Calibri"/>
        </w:rPr>
      </w:pPr>
      <w:r>
        <w:rPr/>
        <w:t>危险源</w:t>
      </w:r>
      <w:r>
        <w:rPr>
          <w:spacing w:val="-54"/>
        </w:rPr>
        <w:t> </w:t>
      </w:r>
      <w:r>
        <w:rPr>
          <w:rFonts w:ascii="Calibri" w:eastAsia="Calibri"/>
        </w:rPr>
        <w:t>hazard</w:t>
        <w:tab/>
        <w:t>3.19</w:t>
      </w:r>
    </w:p>
    <w:p>
      <w:pPr>
        <w:pStyle w:val="BodyText"/>
        <w:tabs>
          <w:tab w:pos="9792" w:val="right" w:leader="none"/>
        </w:tabs>
        <w:ind w:left="117"/>
        <w:rPr>
          <w:rFonts w:ascii="Calibri" w:eastAsia="Calibri"/>
        </w:rPr>
      </w:pPr>
      <w:r>
        <w:rPr/>
        <w:t>文件化信息</w:t>
      </w:r>
      <w:r>
        <w:rPr>
          <w:spacing w:val="-1"/>
        </w:rPr>
        <w:t> </w:t>
      </w:r>
      <w:r>
        <w:rPr>
          <w:rFonts w:ascii="Calibri" w:eastAsia="Calibri"/>
        </w:rPr>
        <w:t>documented</w:t>
      </w:r>
      <w:r>
        <w:rPr>
          <w:rFonts w:ascii="Calibri" w:eastAsia="Calibri"/>
          <w:spacing w:val="1"/>
        </w:rPr>
        <w:t> </w:t>
      </w:r>
      <w:r>
        <w:rPr>
          <w:rFonts w:ascii="Calibri" w:eastAsia="Calibri"/>
        </w:rPr>
        <w:t>information</w:t>
        <w:tab/>
        <w:t>3.24</w:t>
      </w:r>
    </w:p>
    <w:p>
      <w:pPr>
        <w:pStyle w:val="BodyText"/>
        <w:tabs>
          <w:tab w:pos="9792" w:val="right" w:leader="none"/>
        </w:tabs>
        <w:ind w:left="117"/>
        <w:rPr>
          <w:rFonts w:ascii="Calibri" w:eastAsia="Calibri"/>
        </w:rPr>
      </w:pPr>
      <w:r>
        <w:rPr/>
        <w:t>相关方</w:t>
      </w:r>
      <w:r>
        <w:rPr>
          <w:spacing w:val="-1"/>
        </w:rPr>
        <w:t> </w:t>
      </w:r>
      <w:r>
        <w:rPr>
          <w:rFonts w:ascii="Calibri" w:eastAsia="Calibri"/>
        </w:rPr>
        <w:t>interested</w:t>
      </w:r>
      <w:r>
        <w:rPr>
          <w:rFonts w:ascii="Calibri" w:eastAsia="Calibri"/>
          <w:spacing w:val="1"/>
        </w:rPr>
        <w:t> </w:t>
      </w:r>
      <w:r>
        <w:rPr>
          <w:rFonts w:ascii="Calibri" w:eastAsia="Calibri"/>
        </w:rPr>
        <w:t>party</w:t>
        <w:tab/>
        <w:t>3.2</w:t>
      </w:r>
    </w:p>
    <w:p>
      <w:pPr>
        <w:pStyle w:val="BodyText"/>
        <w:tabs>
          <w:tab w:pos="9792" w:val="right" w:leader="none"/>
        </w:tabs>
        <w:ind w:left="117"/>
        <w:rPr>
          <w:rFonts w:ascii="Calibri" w:eastAsia="Calibri"/>
        </w:rPr>
      </w:pPr>
      <w:r>
        <w:rPr/>
        <w:t>协商</w:t>
      </w:r>
      <w:r>
        <w:rPr>
          <w:spacing w:val="1"/>
        </w:rPr>
        <w:t> </w:t>
      </w:r>
      <w:r>
        <w:rPr>
          <w:rFonts w:ascii="Calibri" w:eastAsia="Calibri"/>
        </w:rPr>
        <w:t>consultation</w:t>
        <w:tab/>
        <w:t>3.5</w:t>
      </w:r>
    </w:p>
    <w:p>
      <w:pPr>
        <w:pStyle w:val="BodyText"/>
        <w:tabs>
          <w:tab w:pos="9792" w:val="right" w:leader="none"/>
        </w:tabs>
        <w:ind w:left="117"/>
        <w:rPr>
          <w:rFonts w:ascii="Calibri" w:eastAsia="Calibri"/>
        </w:rPr>
      </w:pPr>
      <w:r>
        <w:rPr/>
        <w:t>要求</w:t>
      </w:r>
      <w:r>
        <w:rPr>
          <w:spacing w:val="1"/>
        </w:rPr>
        <w:t> </w:t>
      </w:r>
      <w:r>
        <w:rPr>
          <w:rFonts w:ascii="Calibri" w:eastAsia="Calibri"/>
        </w:rPr>
        <w:t>requirement</w:t>
        <w:tab/>
        <w:t>3.8</w:t>
      </w:r>
    </w:p>
    <w:p>
      <w:pPr>
        <w:pStyle w:val="BodyText"/>
        <w:tabs>
          <w:tab w:pos="9792" w:val="right" w:leader="none"/>
        </w:tabs>
        <w:ind w:left="117"/>
        <w:rPr>
          <w:rFonts w:ascii="Calibri" w:eastAsia="Calibri"/>
        </w:rPr>
      </w:pPr>
      <w:r>
        <w:rPr/>
        <w:t>有效性</w:t>
      </w:r>
      <w:r>
        <w:rPr>
          <w:spacing w:val="-1"/>
        </w:rPr>
        <w:t> </w:t>
      </w:r>
      <w:r>
        <w:rPr>
          <w:rFonts w:ascii="Calibri" w:eastAsia="Calibri"/>
        </w:rPr>
        <w:t>effectiveness</w:t>
        <w:tab/>
        <w:t>3.13</w:t>
      </w:r>
    </w:p>
    <w:p>
      <w:pPr>
        <w:pStyle w:val="BodyText"/>
        <w:tabs>
          <w:tab w:pos="9792" w:val="right" w:leader="none"/>
        </w:tabs>
        <w:ind w:left="117"/>
        <w:rPr>
          <w:rFonts w:ascii="Calibri" w:eastAsia="Calibri"/>
        </w:rPr>
      </w:pPr>
      <w:r>
        <w:rPr/>
        <w:t>职业健康安全方针</w:t>
      </w:r>
      <w:r>
        <w:rPr>
          <w:spacing w:val="1"/>
        </w:rPr>
        <w:t> </w:t>
      </w:r>
      <w:r>
        <w:rPr>
          <w:rFonts w:ascii="Calibri" w:eastAsia="Calibri"/>
        </w:rPr>
        <w:t>occupational</w:t>
      </w:r>
      <w:r>
        <w:rPr>
          <w:rFonts w:ascii="Calibri" w:eastAsia="Calibri"/>
          <w:spacing w:val="-3"/>
        </w:rPr>
        <w:t> </w:t>
      </w:r>
      <w:r>
        <w:rPr>
          <w:rFonts w:ascii="Calibri" w:eastAsia="Calibri"/>
        </w:rPr>
        <w:t>health</w:t>
      </w:r>
      <w:r>
        <w:rPr>
          <w:rFonts w:ascii="Calibri" w:eastAsia="Calibri"/>
          <w:spacing w:val="3"/>
        </w:rPr>
        <w:t> </w:t>
      </w:r>
      <w:r>
        <w:rPr>
          <w:rFonts w:ascii="Calibri" w:eastAsia="Calibri"/>
        </w:rPr>
        <w:t>and</w:t>
      </w:r>
      <w:r>
        <w:rPr>
          <w:rFonts w:ascii="Calibri" w:eastAsia="Calibri"/>
          <w:spacing w:val="-2"/>
        </w:rPr>
        <w:t> </w:t>
      </w:r>
      <w:r>
        <w:rPr>
          <w:rFonts w:ascii="Calibri" w:eastAsia="Calibri"/>
        </w:rPr>
        <w:t>safety</w:t>
      </w:r>
      <w:r>
        <w:rPr>
          <w:rFonts w:ascii="Calibri" w:eastAsia="Calibri"/>
          <w:spacing w:val="-2"/>
        </w:rPr>
        <w:t> </w:t>
      </w:r>
      <w:r>
        <w:rPr>
          <w:rFonts w:ascii="Calibri" w:eastAsia="Calibri"/>
        </w:rPr>
        <w:t>policy</w:t>
        <w:tab/>
        <w:t>3.15</w:t>
      </w:r>
    </w:p>
    <w:p>
      <w:pPr>
        <w:pStyle w:val="BodyText"/>
        <w:tabs>
          <w:tab w:pos="9792" w:val="right" w:leader="none"/>
        </w:tabs>
        <w:ind w:left="117"/>
        <w:rPr>
          <w:rFonts w:ascii="Calibri" w:eastAsia="Calibri"/>
        </w:rPr>
      </w:pPr>
      <w:r>
        <w:rPr/>
        <w:t>职业健康安全方针</w:t>
      </w:r>
      <w:r>
        <w:rPr>
          <w:spacing w:val="1"/>
        </w:rPr>
        <w:t> </w:t>
      </w:r>
      <w:r>
        <w:rPr>
          <w:rFonts w:ascii="Calibri" w:eastAsia="Calibri"/>
        </w:rPr>
        <w:t>OH&amp;S policy</w:t>
        <w:tab/>
        <w:t>3.15</w:t>
      </w:r>
    </w:p>
    <w:p>
      <w:pPr>
        <w:pStyle w:val="BodyText"/>
        <w:tabs>
          <w:tab w:pos="9792" w:val="right" w:leader="none"/>
        </w:tabs>
        <w:ind w:left="117"/>
        <w:rPr>
          <w:rFonts w:ascii="Calibri" w:eastAsia="Calibri"/>
        </w:rPr>
      </w:pPr>
      <w:r>
        <w:rPr/>
        <w:t>职业健康安全风险</w:t>
      </w:r>
      <w:r>
        <w:rPr>
          <w:spacing w:val="1"/>
        </w:rPr>
        <w:t> </w:t>
      </w:r>
      <w:r>
        <w:rPr>
          <w:rFonts w:ascii="Calibri" w:eastAsia="Calibri"/>
        </w:rPr>
        <w:t>occupational</w:t>
      </w:r>
      <w:r>
        <w:rPr>
          <w:rFonts w:ascii="Calibri" w:eastAsia="Calibri"/>
          <w:spacing w:val="-3"/>
        </w:rPr>
        <w:t> </w:t>
      </w:r>
      <w:r>
        <w:rPr>
          <w:rFonts w:ascii="Calibri" w:eastAsia="Calibri"/>
        </w:rPr>
        <w:t>health</w:t>
      </w:r>
      <w:r>
        <w:rPr>
          <w:rFonts w:ascii="Calibri" w:eastAsia="Calibri"/>
          <w:spacing w:val="3"/>
        </w:rPr>
        <w:t> </w:t>
      </w:r>
      <w:r>
        <w:rPr>
          <w:rFonts w:ascii="Calibri" w:eastAsia="Calibri"/>
        </w:rPr>
        <w:t>and</w:t>
      </w:r>
      <w:r>
        <w:rPr>
          <w:rFonts w:ascii="Calibri" w:eastAsia="Calibri"/>
          <w:spacing w:val="-2"/>
        </w:rPr>
        <w:t> </w:t>
      </w:r>
      <w:r>
        <w:rPr>
          <w:rFonts w:ascii="Calibri" w:eastAsia="Calibri"/>
        </w:rPr>
        <w:t>safety</w:t>
      </w:r>
      <w:r>
        <w:rPr>
          <w:rFonts w:ascii="Calibri" w:eastAsia="Calibri"/>
          <w:spacing w:val="-2"/>
        </w:rPr>
        <w:t> </w:t>
      </w:r>
      <w:r>
        <w:rPr>
          <w:rFonts w:ascii="Calibri" w:eastAsia="Calibri"/>
        </w:rPr>
        <w:t>risk</w:t>
        <w:tab/>
        <w:t>3.21</w:t>
      </w:r>
    </w:p>
    <w:p>
      <w:pPr>
        <w:pStyle w:val="BodyText"/>
        <w:tabs>
          <w:tab w:pos="9792" w:val="right" w:leader="none"/>
        </w:tabs>
        <w:ind w:left="117"/>
        <w:rPr>
          <w:rFonts w:ascii="Calibri" w:eastAsia="Calibri"/>
        </w:rPr>
      </w:pPr>
      <w:r>
        <w:rPr/>
        <w:t>职业健康安全风险</w:t>
      </w:r>
      <w:r>
        <w:rPr>
          <w:spacing w:val="1"/>
        </w:rPr>
        <w:t> </w:t>
      </w:r>
      <w:r>
        <w:rPr>
          <w:rFonts w:ascii="Calibri" w:eastAsia="Calibri"/>
        </w:rPr>
        <w:t>OH&amp;S risk</w:t>
        <w:tab/>
        <w:t>3.21</w:t>
      </w:r>
    </w:p>
    <w:p>
      <w:pPr>
        <w:pStyle w:val="BodyText"/>
        <w:tabs>
          <w:tab w:pos="9792" w:val="right" w:leader="none"/>
        </w:tabs>
        <w:ind w:left="117"/>
        <w:rPr>
          <w:rFonts w:ascii="Calibri" w:eastAsia="Calibri"/>
        </w:rPr>
      </w:pPr>
      <w:r>
        <w:rPr/>
        <w:t>职业健康安全管理体系 </w:t>
      </w:r>
      <w:r>
        <w:rPr>
          <w:rFonts w:ascii="Calibri" w:eastAsia="Calibri"/>
        </w:rPr>
        <w:t>occupational</w:t>
      </w:r>
      <w:r>
        <w:rPr>
          <w:rFonts w:ascii="Calibri" w:eastAsia="Calibri"/>
          <w:spacing w:val="-3"/>
        </w:rPr>
        <w:t> </w:t>
      </w:r>
      <w:r>
        <w:rPr>
          <w:rFonts w:ascii="Calibri" w:eastAsia="Calibri"/>
        </w:rPr>
        <w:t>health</w:t>
      </w:r>
      <w:r>
        <w:rPr>
          <w:rFonts w:ascii="Calibri" w:eastAsia="Calibri"/>
          <w:spacing w:val="2"/>
        </w:rPr>
        <w:t> </w:t>
      </w:r>
      <w:r>
        <w:rPr>
          <w:rFonts w:ascii="Calibri" w:eastAsia="Calibri"/>
        </w:rPr>
        <w:t>and</w:t>
      </w:r>
      <w:r>
        <w:rPr>
          <w:rFonts w:ascii="Calibri" w:eastAsia="Calibri"/>
          <w:spacing w:val="-3"/>
        </w:rPr>
        <w:t> </w:t>
      </w:r>
      <w:r>
        <w:rPr>
          <w:rFonts w:ascii="Calibri" w:eastAsia="Calibri"/>
        </w:rPr>
        <w:t>safety</w:t>
      </w:r>
      <w:r>
        <w:rPr>
          <w:rFonts w:ascii="Calibri" w:eastAsia="Calibri"/>
          <w:spacing w:val="-1"/>
        </w:rPr>
        <w:t> </w:t>
      </w:r>
      <w:r>
        <w:rPr>
          <w:rFonts w:ascii="Calibri" w:eastAsia="Calibri"/>
        </w:rPr>
        <w:t>management</w:t>
      </w:r>
      <w:r>
        <w:rPr>
          <w:rFonts w:ascii="Calibri" w:eastAsia="Calibri"/>
          <w:spacing w:val="-4"/>
        </w:rPr>
        <w:t> </w:t>
      </w:r>
      <w:r>
        <w:rPr>
          <w:rFonts w:ascii="Calibri" w:eastAsia="Calibri"/>
        </w:rPr>
        <w:t>system</w:t>
        <w:tab/>
        <w:t>3.11</w:t>
      </w:r>
    </w:p>
    <w:p>
      <w:pPr>
        <w:pStyle w:val="BodyText"/>
        <w:tabs>
          <w:tab w:pos="9792" w:val="right" w:leader="none"/>
        </w:tabs>
        <w:spacing w:before="42"/>
        <w:ind w:left="117"/>
        <w:rPr>
          <w:rFonts w:ascii="Calibri" w:eastAsia="Calibri"/>
        </w:rPr>
      </w:pPr>
      <w:r>
        <w:rPr/>
        <w:t>职业健康安全管理体系</w:t>
      </w:r>
      <w:r>
        <w:rPr>
          <w:spacing w:val="1"/>
        </w:rPr>
        <w:t> </w:t>
      </w:r>
      <w:r>
        <w:rPr>
          <w:rFonts w:ascii="Calibri" w:eastAsia="Calibri"/>
        </w:rPr>
        <w:t>OH&amp;S management</w:t>
      </w:r>
      <w:r>
        <w:rPr>
          <w:rFonts w:ascii="Calibri" w:eastAsia="Calibri"/>
          <w:spacing w:val="-4"/>
        </w:rPr>
        <w:t> </w:t>
      </w:r>
      <w:r>
        <w:rPr>
          <w:rFonts w:ascii="Calibri" w:eastAsia="Calibri"/>
        </w:rPr>
        <w:t>system</w:t>
        <w:tab/>
        <w:t>3.11</w:t>
      </w:r>
    </w:p>
    <w:p>
      <w:pPr>
        <w:pStyle w:val="BodyText"/>
        <w:tabs>
          <w:tab w:pos="9792" w:val="right" w:leader="none"/>
        </w:tabs>
        <w:ind w:left="117"/>
        <w:rPr>
          <w:rFonts w:ascii="Calibri" w:eastAsia="Calibri"/>
        </w:rPr>
      </w:pPr>
      <w:r>
        <w:rPr/>
        <w:t>职业健康安全机遇</w:t>
      </w:r>
      <w:r>
        <w:rPr>
          <w:spacing w:val="1"/>
        </w:rPr>
        <w:t> </w:t>
      </w:r>
      <w:r>
        <w:rPr>
          <w:rFonts w:ascii="Calibri" w:eastAsia="Calibri"/>
        </w:rPr>
        <w:t>occupational</w:t>
      </w:r>
      <w:r>
        <w:rPr>
          <w:rFonts w:ascii="Calibri" w:eastAsia="Calibri"/>
          <w:spacing w:val="-3"/>
        </w:rPr>
        <w:t> </w:t>
      </w:r>
      <w:r>
        <w:rPr>
          <w:rFonts w:ascii="Calibri" w:eastAsia="Calibri"/>
        </w:rPr>
        <w:t>health</w:t>
      </w:r>
      <w:r>
        <w:rPr>
          <w:rFonts w:ascii="Calibri" w:eastAsia="Calibri"/>
          <w:spacing w:val="3"/>
        </w:rPr>
        <w:t> </w:t>
      </w:r>
      <w:r>
        <w:rPr>
          <w:rFonts w:ascii="Calibri" w:eastAsia="Calibri"/>
        </w:rPr>
        <w:t>and</w:t>
      </w:r>
      <w:r>
        <w:rPr>
          <w:rFonts w:ascii="Calibri" w:eastAsia="Calibri"/>
          <w:spacing w:val="-3"/>
        </w:rPr>
        <w:t> </w:t>
      </w:r>
      <w:r>
        <w:rPr>
          <w:rFonts w:ascii="Calibri" w:eastAsia="Calibri"/>
        </w:rPr>
        <w:t>safety</w:t>
      </w:r>
      <w:r>
        <w:rPr>
          <w:rFonts w:ascii="Calibri" w:eastAsia="Calibri"/>
          <w:spacing w:val="-1"/>
        </w:rPr>
        <w:t> </w:t>
      </w:r>
      <w:r>
        <w:rPr>
          <w:rFonts w:ascii="Calibri" w:eastAsia="Calibri"/>
        </w:rPr>
        <w:t>opportunity</w:t>
        <w:tab/>
        <w:t>3.22</w:t>
      </w:r>
    </w:p>
    <w:p>
      <w:pPr>
        <w:pStyle w:val="BodyText"/>
        <w:tabs>
          <w:tab w:pos="9792" w:val="right" w:leader="none"/>
        </w:tabs>
        <w:ind w:left="117"/>
        <w:rPr>
          <w:rFonts w:ascii="Calibri" w:eastAsia="Calibri"/>
        </w:rPr>
      </w:pPr>
      <w:r>
        <w:rPr/>
        <w:t>职业健康安全机遇</w:t>
      </w:r>
      <w:r>
        <w:rPr>
          <w:spacing w:val="1"/>
        </w:rPr>
        <w:t> </w:t>
      </w:r>
      <w:r>
        <w:rPr>
          <w:rFonts w:ascii="Calibri" w:eastAsia="Calibri"/>
        </w:rPr>
        <w:t>OH&amp;S opportunity</w:t>
        <w:tab/>
        <w:t>3.22</w:t>
      </w:r>
    </w:p>
    <w:p>
      <w:pPr>
        <w:spacing w:after="0"/>
        <w:rPr>
          <w:rFonts w:ascii="Calibri" w:eastAsia="Calibri"/>
        </w:rPr>
        <w:sectPr>
          <w:pgSz w:w="11910" w:h="16840"/>
          <w:pgMar w:header="1442" w:footer="850" w:top="1660" w:bottom="1040" w:left="1140" w:right="740"/>
        </w:sectPr>
      </w:pPr>
    </w:p>
    <w:p>
      <w:pPr>
        <w:pStyle w:val="BodyText"/>
        <w:tabs>
          <w:tab w:pos="9792" w:val="right" w:leader="none"/>
        </w:tabs>
        <w:spacing w:before="157"/>
        <w:ind w:left="117"/>
        <w:rPr>
          <w:rFonts w:ascii="Calibri" w:eastAsia="Calibri"/>
        </w:rPr>
      </w:pPr>
      <w:r>
        <w:rPr/>
        <w:t>职业健康安全绩效 </w:t>
      </w:r>
      <w:r>
        <w:rPr>
          <w:rFonts w:ascii="Calibri" w:eastAsia="Calibri"/>
        </w:rPr>
        <w:t>occupational</w:t>
      </w:r>
      <w:r>
        <w:rPr>
          <w:rFonts w:ascii="Calibri" w:eastAsia="Calibri"/>
          <w:spacing w:val="-2"/>
        </w:rPr>
        <w:t> </w:t>
      </w:r>
      <w:r>
        <w:rPr>
          <w:rFonts w:ascii="Calibri" w:eastAsia="Calibri"/>
        </w:rPr>
        <w:t>health</w:t>
      </w:r>
      <w:r>
        <w:rPr>
          <w:rFonts w:ascii="Calibri" w:eastAsia="Calibri"/>
          <w:spacing w:val="3"/>
        </w:rPr>
        <w:t> </w:t>
      </w:r>
      <w:r>
        <w:rPr>
          <w:rFonts w:ascii="Calibri" w:eastAsia="Calibri"/>
        </w:rPr>
        <w:t>and</w:t>
      </w:r>
      <w:r>
        <w:rPr>
          <w:rFonts w:ascii="Calibri" w:eastAsia="Calibri"/>
          <w:spacing w:val="-3"/>
        </w:rPr>
        <w:t> </w:t>
      </w:r>
      <w:r>
        <w:rPr>
          <w:rFonts w:ascii="Calibri" w:eastAsia="Calibri"/>
        </w:rPr>
        <w:t>safety</w:t>
      </w:r>
      <w:r>
        <w:rPr>
          <w:rFonts w:ascii="Calibri" w:eastAsia="Calibri"/>
          <w:spacing w:val="-1"/>
        </w:rPr>
        <w:t> </w:t>
      </w:r>
      <w:r>
        <w:rPr>
          <w:rFonts w:ascii="Calibri" w:eastAsia="Calibri"/>
        </w:rPr>
        <w:t>performance</w:t>
        <w:tab/>
        <w:t>3.28</w:t>
      </w:r>
    </w:p>
    <w:p>
      <w:pPr>
        <w:pStyle w:val="BodyText"/>
        <w:tabs>
          <w:tab w:pos="9792" w:val="right" w:leader="none"/>
        </w:tabs>
        <w:ind w:left="117"/>
        <w:rPr>
          <w:rFonts w:ascii="Calibri" w:eastAsia="Calibri"/>
        </w:rPr>
      </w:pPr>
      <w:r>
        <w:rPr/>
        <w:t>职业健康安全绩效</w:t>
      </w:r>
      <w:r>
        <w:rPr>
          <w:spacing w:val="1"/>
        </w:rPr>
        <w:t> </w:t>
      </w:r>
      <w:r>
        <w:rPr>
          <w:rFonts w:ascii="Calibri" w:eastAsia="Calibri"/>
        </w:rPr>
        <w:t>OH&amp;S performance</w:t>
        <w:tab/>
        <w:t>3.28</w:t>
      </w:r>
    </w:p>
    <w:p>
      <w:pPr>
        <w:pStyle w:val="BodyText"/>
        <w:tabs>
          <w:tab w:pos="9422" w:val="left" w:leader="none"/>
        </w:tabs>
        <w:ind w:left="117"/>
        <w:rPr>
          <w:rFonts w:ascii="Calibri" w:eastAsia="Calibri"/>
        </w:rPr>
      </w:pPr>
      <w:r>
        <w:rPr/>
        <w:t>职业健康安全目标</w:t>
      </w:r>
      <w:r>
        <w:rPr>
          <w:spacing w:val="-7"/>
        </w:rPr>
        <w:t> </w:t>
      </w:r>
      <w:r>
        <w:rPr>
          <w:rFonts w:ascii="Calibri" w:eastAsia="Calibri"/>
        </w:rPr>
        <w:t>occupational</w:t>
      </w:r>
      <w:r>
        <w:rPr>
          <w:rFonts w:ascii="Calibri" w:eastAsia="Calibri"/>
          <w:spacing w:val="-6"/>
        </w:rPr>
        <w:t> </w:t>
      </w:r>
      <w:r>
        <w:rPr>
          <w:rFonts w:ascii="Calibri" w:eastAsia="Calibri"/>
        </w:rPr>
        <w:t>health</w:t>
      </w:r>
      <w:r>
        <w:rPr>
          <w:rFonts w:ascii="Calibri" w:eastAsia="Calibri"/>
          <w:spacing w:val="-1"/>
        </w:rPr>
        <w:t> </w:t>
      </w:r>
      <w:r>
        <w:rPr>
          <w:rFonts w:ascii="Calibri" w:eastAsia="Calibri"/>
        </w:rPr>
        <w:t>and</w:t>
      </w:r>
      <w:r>
        <w:rPr>
          <w:rFonts w:ascii="Calibri" w:eastAsia="Calibri"/>
          <w:spacing w:val="-6"/>
        </w:rPr>
        <w:t> </w:t>
      </w:r>
      <w:r>
        <w:rPr>
          <w:rFonts w:ascii="Calibri" w:eastAsia="Calibri"/>
        </w:rPr>
        <w:t>safety</w:t>
      </w:r>
      <w:r>
        <w:rPr>
          <w:rFonts w:ascii="Calibri" w:eastAsia="Calibri"/>
          <w:spacing w:val="-4"/>
        </w:rPr>
        <w:t> </w:t>
      </w:r>
      <w:r>
        <w:rPr>
          <w:rFonts w:ascii="Calibri" w:eastAsia="Calibri"/>
        </w:rPr>
        <w:t>objective</w:t>
        <w:tab/>
        <w:t>3.17</w:t>
      </w:r>
    </w:p>
    <w:p>
      <w:pPr>
        <w:pStyle w:val="BodyText"/>
        <w:tabs>
          <w:tab w:pos="9422" w:val="left" w:leader="none"/>
        </w:tabs>
        <w:ind w:left="117"/>
        <w:rPr>
          <w:rFonts w:ascii="Calibri" w:eastAsia="Calibri"/>
        </w:rPr>
      </w:pPr>
      <w:r>
        <w:rPr/>
        <w:t>职业健康安全目标</w:t>
      </w:r>
      <w:r>
        <w:rPr>
          <w:spacing w:val="-4"/>
        </w:rPr>
        <w:t> </w:t>
      </w:r>
      <w:r>
        <w:rPr>
          <w:rFonts w:ascii="Calibri" w:eastAsia="Calibri"/>
        </w:rPr>
        <w:t>OH&amp;S</w:t>
      </w:r>
      <w:r>
        <w:rPr>
          <w:rFonts w:ascii="Calibri" w:eastAsia="Calibri"/>
          <w:spacing w:val="-2"/>
        </w:rPr>
        <w:t> </w:t>
      </w:r>
      <w:r>
        <w:rPr>
          <w:rFonts w:ascii="Calibri" w:eastAsia="Calibri"/>
        </w:rPr>
        <w:t>objective</w:t>
        <w:tab/>
        <w:t>3.17</w:t>
      </w:r>
    </w:p>
    <w:p>
      <w:pPr>
        <w:pStyle w:val="BodyText"/>
        <w:tabs>
          <w:tab w:pos="9527" w:val="left" w:leader="none"/>
        </w:tabs>
        <w:ind w:left="117"/>
        <w:rPr>
          <w:rFonts w:ascii="Calibri" w:eastAsia="Calibri"/>
        </w:rPr>
      </w:pPr>
      <w:r>
        <w:rPr/>
        <w:t>组织</w:t>
      </w:r>
      <w:r>
        <w:rPr>
          <w:spacing w:val="-6"/>
        </w:rPr>
        <w:t> </w:t>
      </w:r>
      <w:r>
        <w:rPr>
          <w:rFonts w:ascii="Calibri" w:eastAsia="Calibri"/>
        </w:rPr>
        <w:t>organization</w:t>
        <w:tab/>
        <w:t>3.1</w:t>
      </w:r>
    </w:p>
    <w:p>
      <w:pPr>
        <w:pStyle w:val="BodyText"/>
        <w:tabs>
          <w:tab w:pos="9422" w:val="left" w:leader="none"/>
        </w:tabs>
        <w:ind w:left="117"/>
        <w:rPr>
          <w:rFonts w:ascii="Calibri" w:eastAsia="Calibri"/>
        </w:rPr>
      </w:pPr>
      <w:r>
        <w:rPr/>
        <w:t>最高管理者</w:t>
      </w:r>
      <w:r>
        <w:rPr>
          <w:spacing w:val="-4"/>
        </w:rPr>
        <w:t> </w:t>
      </w:r>
      <w:r>
        <w:rPr>
          <w:rFonts w:ascii="Calibri" w:eastAsia="Calibri"/>
        </w:rPr>
        <w:t>top</w:t>
      </w:r>
      <w:r>
        <w:rPr>
          <w:rFonts w:ascii="Calibri" w:eastAsia="Calibri"/>
          <w:spacing w:val="-4"/>
        </w:rPr>
        <w:t> </w:t>
      </w:r>
      <w:r>
        <w:rPr>
          <w:rFonts w:ascii="Calibri" w:eastAsia="Calibri"/>
        </w:rPr>
        <w:t>management</w:t>
        <w:tab/>
        <w:t>3.12</w:t>
      </w:r>
    </w:p>
    <w:p>
      <w:pPr>
        <w:pStyle w:val="BodyText"/>
        <w:spacing w:before="0"/>
        <w:rPr>
          <w:rFonts w:ascii="Calibri"/>
          <w:sz w:val="28"/>
        </w:rPr>
      </w:pPr>
      <w:r>
        <w:rPr/>
        <w:pict>
          <v:line style="position:absolute;mso-position-horizontal-relative:page;mso-position-vertical-relative:paragraph;z-index:-251654144;mso-wrap-distance-left:0;mso-wrap-distance-right:0" from="233.899994pt,19.561825pt" to="375.649994pt,19.561825pt" stroked="true" strokeweight="1pt" strokecolor="#000000">
            <v:stroke dashstyle="solid"/>
            <w10:wrap type="topAndBottom"/>
          </v:line>
        </w:pict>
      </w:r>
    </w:p>
    <w:sectPr>
      <w:pgSz w:w="11910" w:h="16840"/>
      <w:pgMar w:header="1442" w:footer="850" w:top="1660" w:bottom="1040" w:left="11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33.679993pt;margin-top:788.429993pt;width:7pt;height:12pt;mso-position-horizontal-relative:page;mso-position-vertical-relative:page;z-index:-25597952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27.679993pt;margin-top:788.429993pt;width:13.1pt;height:12pt;mso-position-horizontal-relative:page;mso-position-vertical-relative:page;z-index:-2559703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17.119995pt;margin-top:788.429993pt;width:13.1pt;height:12pt;mso-position-horizontal-relative:page;mso-position-vertical-relative:page;z-index:-2559692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20</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27.679993pt;margin-top:788.429993pt;width:13.1pt;height:12pt;mso-position-horizontal-relative:page;mso-position-vertical-relative:page;z-index:-2559682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21</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17.119995pt;margin-top:788.429993pt;width:13.1pt;height:12pt;mso-position-horizontal-relative:page;mso-position-vertical-relative:page;z-index:-25596723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30</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27.679993pt;margin-top:788.429993pt;width:13.1pt;height:12pt;mso-position-horizontal-relative:page;mso-position-vertical-relative:page;z-index:-2559662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31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16.640015pt;margin-top:788.429993pt;width:13.6pt;height:12pt;mso-position-horizontal-relative:page;mso-position-vertical-relative:page;z-index:-2559784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IV</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27.679993pt;margin-top:788.429993pt;width:13pt;height:12pt;mso-position-horizontal-relative:page;mso-position-vertical-relative:page;z-index:-25597747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III</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16.640015pt;margin-top:788.429993pt;width:13.5pt;height:12pt;mso-position-horizontal-relative:page;mso-position-vertical-relative:page;z-index:-2559764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IV</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30.200012pt;margin-top:788.429993pt;width:10.5pt;height:12pt;mso-position-horizontal-relative:page;mso-position-vertical-relative:page;z-index:-25597542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V</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16.640015pt;margin-top:788.429993pt;width:13.6pt;height:12pt;mso-position-horizontal-relative:page;mso-position-vertical-relative:page;z-index:-2559744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VI</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32.119995pt;margin-top:788.429993pt;width:8.5pt;height:12pt;mso-position-horizontal-relative:page;mso-position-vertical-relative:page;z-index:-25597337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21.679993pt;margin-top:788.429993pt;width:8.5pt;height:12pt;mso-position-horizontal-relative:page;mso-position-vertical-relative:page;z-index:-2559723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17.119995pt;margin-top:788.429993pt;width:13.1pt;height:12pt;mso-position-horizontal-relative:page;mso-position-vertical-relative:page;z-index:-25597132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375.679993pt;margin-top:71.096878pt;width:164.2pt;height:13.6pt;mso-position-horizontal-relative:page;mso-position-vertical-relative:page;z-index:-255981568" type="#_x0000_t202" filled="false" stroked="false">
          <v:textbox inset="0,0,0,0">
            <w:txbxContent>
              <w:p>
                <w:pPr>
                  <w:pStyle w:val="BodyText"/>
                  <w:spacing w:line="265" w:lineRule="exact" w:before="0"/>
                  <w:ind w:left="20"/>
                  <w:rPr>
                    <w:rFonts w:ascii="Times New Roman" w:hAnsi="Times New Roman"/>
                  </w:rPr>
                </w:pPr>
                <w:r>
                  <w:rPr>
                    <w:rFonts w:ascii="Times New Roman" w:hAnsi="Times New Roman"/>
                  </w:rPr>
                  <w:t>GB/T 45001</w:t>
                </w:r>
                <w:r>
                  <w:rPr/>
                  <w:t>—</w:t>
                </w:r>
                <w:r>
                  <w:rPr>
                    <w:rFonts w:ascii="Times New Roman" w:hAnsi="Times New Roman"/>
                  </w:rPr>
                  <w:t>2020/ISO 45001:2018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69.919998pt;margin-top:71.096878pt;width:158.950pt;height:13.6pt;mso-position-horizontal-relative:page;mso-position-vertical-relative:page;z-index:-255980544" type="#_x0000_t202" filled="false" stroked="false">
          <v:textbox inset="0,0,0,0">
            <w:txbxContent>
              <w:p>
                <w:pPr>
                  <w:pStyle w:val="BodyText"/>
                  <w:spacing w:line="265" w:lineRule="exact" w:before="0"/>
                  <w:ind w:left="20"/>
                  <w:rPr>
                    <w:rFonts w:ascii="Times New Roman" w:hAnsi="Times New Roman"/>
                  </w:rPr>
                </w:pPr>
                <w:r>
                  <w:rPr>
                    <w:rFonts w:ascii="Times New Roman" w:hAnsi="Times New Roman"/>
                  </w:rPr>
                  <w:t>GB/T 45001</w:t>
                </w:r>
                <w:r>
                  <w:rPr/>
                  <w:t>—</w:t>
                </w:r>
                <w:r>
                  <w:rPr>
                    <w:rFonts w:ascii="Times New Roman" w:hAnsi="Times New Roman"/>
                  </w:rPr>
                  <w:t>2020/ISO 45001:2018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
    <w:multiLevelType w:val="hybridMultilevel"/>
    <w:lvl w:ilvl="0">
      <w:start w:val="5"/>
      <w:numFmt w:val="decimal"/>
      <w:lvlText w:val="[%1]"/>
      <w:lvlJc w:val="left"/>
      <w:pPr>
        <w:ind w:left="576" w:hanging="29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1524" w:hanging="298"/>
      </w:pPr>
      <w:rPr>
        <w:rFonts w:hint="default"/>
        <w:lang w:val="en-US" w:eastAsia="en-US" w:bidi="en-US"/>
      </w:rPr>
    </w:lvl>
    <w:lvl w:ilvl="2">
      <w:start w:val="0"/>
      <w:numFmt w:val="bullet"/>
      <w:lvlText w:val="•"/>
      <w:lvlJc w:val="left"/>
      <w:pPr>
        <w:ind w:left="2469" w:hanging="298"/>
      </w:pPr>
      <w:rPr>
        <w:rFonts w:hint="default"/>
        <w:lang w:val="en-US" w:eastAsia="en-US" w:bidi="en-US"/>
      </w:rPr>
    </w:lvl>
    <w:lvl w:ilvl="3">
      <w:start w:val="0"/>
      <w:numFmt w:val="bullet"/>
      <w:lvlText w:val="•"/>
      <w:lvlJc w:val="left"/>
      <w:pPr>
        <w:ind w:left="3414" w:hanging="298"/>
      </w:pPr>
      <w:rPr>
        <w:rFonts w:hint="default"/>
        <w:lang w:val="en-US" w:eastAsia="en-US" w:bidi="en-US"/>
      </w:rPr>
    </w:lvl>
    <w:lvl w:ilvl="4">
      <w:start w:val="0"/>
      <w:numFmt w:val="bullet"/>
      <w:lvlText w:val="•"/>
      <w:lvlJc w:val="left"/>
      <w:pPr>
        <w:ind w:left="4358" w:hanging="298"/>
      </w:pPr>
      <w:rPr>
        <w:rFonts w:hint="default"/>
        <w:lang w:val="en-US" w:eastAsia="en-US" w:bidi="en-US"/>
      </w:rPr>
    </w:lvl>
    <w:lvl w:ilvl="5">
      <w:start w:val="0"/>
      <w:numFmt w:val="bullet"/>
      <w:lvlText w:val="•"/>
      <w:lvlJc w:val="left"/>
      <w:pPr>
        <w:ind w:left="5303" w:hanging="298"/>
      </w:pPr>
      <w:rPr>
        <w:rFonts w:hint="default"/>
        <w:lang w:val="en-US" w:eastAsia="en-US" w:bidi="en-US"/>
      </w:rPr>
    </w:lvl>
    <w:lvl w:ilvl="6">
      <w:start w:val="0"/>
      <w:numFmt w:val="bullet"/>
      <w:lvlText w:val="•"/>
      <w:lvlJc w:val="left"/>
      <w:pPr>
        <w:ind w:left="6248" w:hanging="298"/>
      </w:pPr>
      <w:rPr>
        <w:rFonts w:hint="default"/>
        <w:lang w:val="en-US" w:eastAsia="en-US" w:bidi="en-US"/>
      </w:rPr>
    </w:lvl>
    <w:lvl w:ilvl="7">
      <w:start w:val="0"/>
      <w:numFmt w:val="bullet"/>
      <w:lvlText w:val="•"/>
      <w:lvlJc w:val="left"/>
      <w:pPr>
        <w:ind w:left="7192" w:hanging="298"/>
      </w:pPr>
      <w:rPr>
        <w:rFonts w:hint="default"/>
        <w:lang w:val="en-US" w:eastAsia="en-US" w:bidi="en-US"/>
      </w:rPr>
    </w:lvl>
    <w:lvl w:ilvl="8">
      <w:start w:val="0"/>
      <w:numFmt w:val="bullet"/>
      <w:lvlText w:val="•"/>
      <w:lvlJc w:val="left"/>
      <w:pPr>
        <w:ind w:left="8137" w:hanging="298"/>
      </w:pPr>
      <w:rPr>
        <w:rFonts w:hint="default"/>
        <w:lang w:val="en-US" w:eastAsia="en-US" w:bidi="en-US"/>
      </w:rPr>
    </w:lvl>
  </w:abstractNum>
  <w:abstractNum w:abstractNumId="63">
    <w:multiLevelType w:val="hybridMultilevel"/>
    <w:lvl w:ilvl="0">
      <w:start w:val="1"/>
      <w:numFmt w:val="decimal"/>
      <w:lvlText w:val="[%1]"/>
      <w:lvlJc w:val="left"/>
      <w:pPr>
        <w:ind w:left="576" w:hanging="298"/>
        <w:jc w:val="left"/>
      </w:pPr>
      <w:rPr>
        <w:rFonts w:hint="default" w:ascii="Times New Roman" w:hAnsi="Times New Roman" w:eastAsia="Times New Roman" w:cs="Times New Roman"/>
        <w:spacing w:val="-2"/>
        <w:w w:val="99"/>
        <w:sz w:val="21"/>
        <w:szCs w:val="21"/>
        <w:lang w:val="en-US" w:eastAsia="en-US" w:bidi="en-US"/>
      </w:rPr>
    </w:lvl>
    <w:lvl w:ilvl="1">
      <w:start w:val="0"/>
      <w:numFmt w:val="bullet"/>
      <w:lvlText w:val="•"/>
      <w:lvlJc w:val="left"/>
      <w:pPr>
        <w:ind w:left="1524" w:hanging="298"/>
      </w:pPr>
      <w:rPr>
        <w:rFonts w:hint="default"/>
        <w:lang w:val="en-US" w:eastAsia="en-US" w:bidi="en-US"/>
      </w:rPr>
    </w:lvl>
    <w:lvl w:ilvl="2">
      <w:start w:val="0"/>
      <w:numFmt w:val="bullet"/>
      <w:lvlText w:val="•"/>
      <w:lvlJc w:val="left"/>
      <w:pPr>
        <w:ind w:left="2469" w:hanging="298"/>
      </w:pPr>
      <w:rPr>
        <w:rFonts w:hint="default"/>
        <w:lang w:val="en-US" w:eastAsia="en-US" w:bidi="en-US"/>
      </w:rPr>
    </w:lvl>
    <w:lvl w:ilvl="3">
      <w:start w:val="0"/>
      <w:numFmt w:val="bullet"/>
      <w:lvlText w:val="•"/>
      <w:lvlJc w:val="left"/>
      <w:pPr>
        <w:ind w:left="3414" w:hanging="298"/>
      </w:pPr>
      <w:rPr>
        <w:rFonts w:hint="default"/>
        <w:lang w:val="en-US" w:eastAsia="en-US" w:bidi="en-US"/>
      </w:rPr>
    </w:lvl>
    <w:lvl w:ilvl="4">
      <w:start w:val="0"/>
      <w:numFmt w:val="bullet"/>
      <w:lvlText w:val="•"/>
      <w:lvlJc w:val="left"/>
      <w:pPr>
        <w:ind w:left="4358" w:hanging="298"/>
      </w:pPr>
      <w:rPr>
        <w:rFonts w:hint="default"/>
        <w:lang w:val="en-US" w:eastAsia="en-US" w:bidi="en-US"/>
      </w:rPr>
    </w:lvl>
    <w:lvl w:ilvl="5">
      <w:start w:val="0"/>
      <w:numFmt w:val="bullet"/>
      <w:lvlText w:val="•"/>
      <w:lvlJc w:val="left"/>
      <w:pPr>
        <w:ind w:left="5303" w:hanging="298"/>
      </w:pPr>
      <w:rPr>
        <w:rFonts w:hint="default"/>
        <w:lang w:val="en-US" w:eastAsia="en-US" w:bidi="en-US"/>
      </w:rPr>
    </w:lvl>
    <w:lvl w:ilvl="6">
      <w:start w:val="0"/>
      <w:numFmt w:val="bullet"/>
      <w:lvlText w:val="•"/>
      <w:lvlJc w:val="left"/>
      <w:pPr>
        <w:ind w:left="6248" w:hanging="298"/>
      </w:pPr>
      <w:rPr>
        <w:rFonts w:hint="default"/>
        <w:lang w:val="en-US" w:eastAsia="en-US" w:bidi="en-US"/>
      </w:rPr>
    </w:lvl>
    <w:lvl w:ilvl="7">
      <w:start w:val="0"/>
      <w:numFmt w:val="bullet"/>
      <w:lvlText w:val="•"/>
      <w:lvlJc w:val="left"/>
      <w:pPr>
        <w:ind w:left="7192" w:hanging="298"/>
      </w:pPr>
      <w:rPr>
        <w:rFonts w:hint="default"/>
        <w:lang w:val="en-US" w:eastAsia="en-US" w:bidi="en-US"/>
      </w:rPr>
    </w:lvl>
    <w:lvl w:ilvl="8">
      <w:start w:val="0"/>
      <w:numFmt w:val="bullet"/>
      <w:lvlText w:val="•"/>
      <w:lvlJc w:val="left"/>
      <w:pPr>
        <w:ind w:left="8137" w:hanging="298"/>
      </w:pPr>
      <w:rPr>
        <w:rFonts w:hint="default"/>
        <w:lang w:val="en-US" w:eastAsia="en-US" w:bidi="en-US"/>
      </w:rPr>
    </w:lvl>
  </w:abstractNum>
  <w:abstractNum w:abstractNumId="62">
    <w:multiLevelType w:val="hybridMultilevel"/>
    <w:lvl w:ilvl="0">
      <w:start w:val="1"/>
      <w:numFmt w:val="lowerLetter"/>
      <w:lvlText w:val="%1)"/>
      <w:lvlJc w:val="left"/>
      <w:pPr>
        <w:ind w:left="1058" w:hanging="36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1956" w:hanging="360"/>
      </w:pPr>
      <w:rPr>
        <w:rFonts w:hint="default"/>
        <w:lang w:val="en-US" w:eastAsia="en-US" w:bidi="en-US"/>
      </w:rPr>
    </w:lvl>
    <w:lvl w:ilvl="2">
      <w:start w:val="0"/>
      <w:numFmt w:val="bullet"/>
      <w:lvlText w:val="•"/>
      <w:lvlJc w:val="left"/>
      <w:pPr>
        <w:ind w:left="2853" w:hanging="360"/>
      </w:pPr>
      <w:rPr>
        <w:rFonts w:hint="default"/>
        <w:lang w:val="en-US" w:eastAsia="en-US" w:bidi="en-US"/>
      </w:rPr>
    </w:lvl>
    <w:lvl w:ilvl="3">
      <w:start w:val="0"/>
      <w:numFmt w:val="bullet"/>
      <w:lvlText w:val="•"/>
      <w:lvlJc w:val="left"/>
      <w:pPr>
        <w:ind w:left="3750" w:hanging="360"/>
      </w:pPr>
      <w:rPr>
        <w:rFonts w:hint="default"/>
        <w:lang w:val="en-US" w:eastAsia="en-US" w:bidi="en-US"/>
      </w:rPr>
    </w:lvl>
    <w:lvl w:ilvl="4">
      <w:start w:val="0"/>
      <w:numFmt w:val="bullet"/>
      <w:lvlText w:val="•"/>
      <w:lvlJc w:val="left"/>
      <w:pPr>
        <w:ind w:left="4646" w:hanging="360"/>
      </w:pPr>
      <w:rPr>
        <w:rFonts w:hint="default"/>
        <w:lang w:val="en-US" w:eastAsia="en-US" w:bidi="en-US"/>
      </w:rPr>
    </w:lvl>
    <w:lvl w:ilvl="5">
      <w:start w:val="0"/>
      <w:numFmt w:val="bullet"/>
      <w:lvlText w:val="•"/>
      <w:lvlJc w:val="left"/>
      <w:pPr>
        <w:ind w:left="5543" w:hanging="360"/>
      </w:pPr>
      <w:rPr>
        <w:rFonts w:hint="default"/>
        <w:lang w:val="en-US" w:eastAsia="en-US" w:bidi="en-US"/>
      </w:rPr>
    </w:lvl>
    <w:lvl w:ilvl="6">
      <w:start w:val="0"/>
      <w:numFmt w:val="bullet"/>
      <w:lvlText w:val="•"/>
      <w:lvlJc w:val="left"/>
      <w:pPr>
        <w:ind w:left="6440" w:hanging="360"/>
      </w:pPr>
      <w:rPr>
        <w:rFonts w:hint="default"/>
        <w:lang w:val="en-US" w:eastAsia="en-US" w:bidi="en-US"/>
      </w:rPr>
    </w:lvl>
    <w:lvl w:ilvl="7">
      <w:start w:val="0"/>
      <w:numFmt w:val="bullet"/>
      <w:lvlText w:val="•"/>
      <w:lvlJc w:val="left"/>
      <w:pPr>
        <w:ind w:left="7336" w:hanging="360"/>
      </w:pPr>
      <w:rPr>
        <w:rFonts w:hint="default"/>
        <w:lang w:val="en-US" w:eastAsia="en-US" w:bidi="en-US"/>
      </w:rPr>
    </w:lvl>
    <w:lvl w:ilvl="8">
      <w:start w:val="0"/>
      <w:numFmt w:val="bullet"/>
      <w:lvlText w:val="•"/>
      <w:lvlJc w:val="left"/>
      <w:pPr>
        <w:ind w:left="8233" w:hanging="360"/>
      </w:pPr>
      <w:rPr>
        <w:rFonts w:hint="default"/>
        <w:lang w:val="en-US" w:eastAsia="en-US" w:bidi="en-US"/>
      </w:rPr>
    </w:lvl>
  </w:abstractNum>
  <w:abstractNum w:abstractNumId="61">
    <w:multiLevelType w:val="hybridMultilevel"/>
    <w:lvl w:ilvl="0">
      <w:start w:val="1"/>
      <w:numFmt w:val="upperLetter"/>
      <w:lvlText w:val="%1"/>
      <w:lvlJc w:val="left"/>
      <w:pPr>
        <w:ind w:left="1012" w:hanging="735"/>
        <w:jc w:val="left"/>
      </w:pPr>
      <w:rPr>
        <w:rFonts w:hint="default"/>
        <w:lang w:val="en-US" w:eastAsia="en-US" w:bidi="en-US"/>
      </w:rPr>
    </w:lvl>
    <w:lvl w:ilvl="1">
      <w:start w:val="10"/>
      <w:numFmt w:val="decimal"/>
      <w:lvlText w:val="%1.%2"/>
      <w:lvlJc w:val="left"/>
      <w:pPr>
        <w:ind w:left="1012" w:hanging="735"/>
        <w:jc w:val="left"/>
      </w:pPr>
      <w:rPr>
        <w:rFonts w:hint="default"/>
        <w:lang w:val="en-US" w:eastAsia="en-US" w:bidi="en-US"/>
      </w:rPr>
    </w:lvl>
    <w:lvl w:ilvl="2">
      <w:start w:val="1"/>
      <w:numFmt w:val="decimal"/>
      <w:lvlText w:val="%1.%2.%3"/>
      <w:lvlJc w:val="left"/>
      <w:pPr>
        <w:ind w:left="1012" w:hanging="735"/>
        <w:jc w:val="left"/>
      </w:pPr>
      <w:rPr>
        <w:rFonts w:hint="default" w:ascii="黑体" w:hAnsi="黑体" w:eastAsia="黑体" w:cs="黑体"/>
        <w:spacing w:val="-2"/>
        <w:w w:val="99"/>
        <w:sz w:val="21"/>
        <w:szCs w:val="21"/>
        <w:lang w:val="en-US" w:eastAsia="en-US" w:bidi="en-US"/>
      </w:rPr>
    </w:lvl>
    <w:lvl w:ilvl="3">
      <w:start w:val="1"/>
      <w:numFmt w:val="lowerLetter"/>
      <w:lvlText w:val="%4)"/>
      <w:lvlJc w:val="left"/>
      <w:pPr>
        <w:ind w:left="1058" w:hanging="360"/>
        <w:jc w:val="left"/>
      </w:pPr>
      <w:rPr>
        <w:rFonts w:hint="default" w:ascii="宋体" w:hAnsi="宋体" w:eastAsia="宋体" w:cs="宋体"/>
        <w:spacing w:val="0"/>
        <w:w w:val="99"/>
        <w:sz w:val="21"/>
        <w:szCs w:val="21"/>
        <w:lang w:val="en-US" w:eastAsia="en-US" w:bidi="en-US"/>
      </w:rPr>
    </w:lvl>
    <w:lvl w:ilvl="4">
      <w:start w:val="0"/>
      <w:numFmt w:val="bullet"/>
      <w:lvlText w:val="•"/>
      <w:lvlJc w:val="left"/>
      <w:pPr>
        <w:ind w:left="4049" w:hanging="360"/>
      </w:pPr>
      <w:rPr>
        <w:rFonts w:hint="default"/>
        <w:lang w:val="en-US" w:eastAsia="en-US" w:bidi="en-US"/>
      </w:rPr>
    </w:lvl>
    <w:lvl w:ilvl="5">
      <w:start w:val="0"/>
      <w:numFmt w:val="bullet"/>
      <w:lvlText w:val="•"/>
      <w:lvlJc w:val="left"/>
      <w:pPr>
        <w:ind w:left="5045" w:hanging="360"/>
      </w:pPr>
      <w:rPr>
        <w:rFonts w:hint="default"/>
        <w:lang w:val="en-US" w:eastAsia="en-US" w:bidi="en-US"/>
      </w:rPr>
    </w:lvl>
    <w:lvl w:ilvl="6">
      <w:start w:val="0"/>
      <w:numFmt w:val="bullet"/>
      <w:lvlText w:val="•"/>
      <w:lvlJc w:val="left"/>
      <w:pPr>
        <w:ind w:left="6041" w:hanging="360"/>
      </w:pPr>
      <w:rPr>
        <w:rFonts w:hint="default"/>
        <w:lang w:val="en-US" w:eastAsia="en-US" w:bidi="en-US"/>
      </w:rPr>
    </w:lvl>
    <w:lvl w:ilvl="7">
      <w:start w:val="0"/>
      <w:numFmt w:val="bullet"/>
      <w:lvlText w:val="•"/>
      <w:lvlJc w:val="left"/>
      <w:pPr>
        <w:ind w:left="7038" w:hanging="360"/>
      </w:pPr>
      <w:rPr>
        <w:rFonts w:hint="default"/>
        <w:lang w:val="en-US" w:eastAsia="en-US" w:bidi="en-US"/>
      </w:rPr>
    </w:lvl>
    <w:lvl w:ilvl="8">
      <w:start w:val="0"/>
      <w:numFmt w:val="bullet"/>
      <w:lvlText w:val="•"/>
      <w:lvlJc w:val="left"/>
      <w:pPr>
        <w:ind w:left="8034" w:hanging="360"/>
      </w:pPr>
      <w:rPr>
        <w:rFonts w:hint="default"/>
        <w:lang w:val="en-US" w:eastAsia="en-US" w:bidi="en-US"/>
      </w:rPr>
    </w:lvl>
  </w:abstractNum>
  <w:abstractNum w:abstractNumId="60">
    <w:multiLevelType w:val="hybridMultilevel"/>
    <w:lvl w:ilvl="0">
      <w:start w:val="2"/>
      <w:numFmt w:val="lowerRoman"/>
      <w:lvlText w:val="%1)"/>
      <w:lvlJc w:val="left"/>
      <w:pPr>
        <w:ind w:left="1843" w:hanging="291"/>
        <w:jc w:val="left"/>
      </w:pPr>
      <w:rPr>
        <w:rFonts w:hint="default" w:ascii="Times New Roman" w:hAnsi="Times New Roman" w:eastAsia="Times New Roman" w:cs="Times New Roman"/>
        <w:spacing w:val="-1"/>
        <w:w w:val="99"/>
        <w:sz w:val="21"/>
        <w:szCs w:val="21"/>
        <w:lang w:val="en-US" w:eastAsia="en-US" w:bidi="en-US"/>
      </w:rPr>
    </w:lvl>
    <w:lvl w:ilvl="1">
      <w:start w:val="0"/>
      <w:numFmt w:val="bullet"/>
      <w:lvlText w:val="•"/>
      <w:lvlJc w:val="left"/>
      <w:pPr>
        <w:ind w:left="2658" w:hanging="291"/>
      </w:pPr>
      <w:rPr>
        <w:rFonts w:hint="default"/>
        <w:lang w:val="en-US" w:eastAsia="en-US" w:bidi="en-US"/>
      </w:rPr>
    </w:lvl>
    <w:lvl w:ilvl="2">
      <w:start w:val="0"/>
      <w:numFmt w:val="bullet"/>
      <w:lvlText w:val="•"/>
      <w:lvlJc w:val="left"/>
      <w:pPr>
        <w:ind w:left="3477" w:hanging="291"/>
      </w:pPr>
      <w:rPr>
        <w:rFonts w:hint="default"/>
        <w:lang w:val="en-US" w:eastAsia="en-US" w:bidi="en-US"/>
      </w:rPr>
    </w:lvl>
    <w:lvl w:ilvl="3">
      <w:start w:val="0"/>
      <w:numFmt w:val="bullet"/>
      <w:lvlText w:val="•"/>
      <w:lvlJc w:val="left"/>
      <w:pPr>
        <w:ind w:left="4296" w:hanging="291"/>
      </w:pPr>
      <w:rPr>
        <w:rFonts w:hint="default"/>
        <w:lang w:val="en-US" w:eastAsia="en-US" w:bidi="en-US"/>
      </w:rPr>
    </w:lvl>
    <w:lvl w:ilvl="4">
      <w:start w:val="0"/>
      <w:numFmt w:val="bullet"/>
      <w:lvlText w:val="•"/>
      <w:lvlJc w:val="left"/>
      <w:pPr>
        <w:ind w:left="5114" w:hanging="291"/>
      </w:pPr>
      <w:rPr>
        <w:rFonts w:hint="default"/>
        <w:lang w:val="en-US" w:eastAsia="en-US" w:bidi="en-US"/>
      </w:rPr>
    </w:lvl>
    <w:lvl w:ilvl="5">
      <w:start w:val="0"/>
      <w:numFmt w:val="bullet"/>
      <w:lvlText w:val="•"/>
      <w:lvlJc w:val="left"/>
      <w:pPr>
        <w:ind w:left="5933" w:hanging="291"/>
      </w:pPr>
      <w:rPr>
        <w:rFonts w:hint="default"/>
        <w:lang w:val="en-US" w:eastAsia="en-US" w:bidi="en-US"/>
      </w:rPr>
    </w:lvl>
    <w:lvl w:ilvl="6">
      <w:start w:val="0"/>
      <w:numFmt w:val="bullet"/>
      <w:lvlText w:val="•"/>
      <w:lvlJc w:val="left"/>
      <w:pPr>
        <w:ind w:left="6752" w:hanging="291"/>
      </w:pPr>
      <w:rPr>
        <w:rFonts w:hint="default"/>
        <w:lang w:val="en-US" w:eastAsia="en-US" w:bidi="en-US"/>
      </w:rPr>
    </w:lvl>
    <w:lvl w:ilvl="7">
      <w:start w:val="0"/>
      <w:numFmt w:val="bullet"/>
      <w:lvlText w:val="•"/>
      <w:lvlJc w:val="left"/>
      <w:pPr>
        <w:ind w:left="7570" w:hanging="291"/>
      </w:pPr>
      <w:rPr>
        <w:rFonts w:hint="default"/>
        <w:lang w:val="en-US" w:eastAsia="en-US" w:bidi="en-US"/>
      </w:rPr>
    </w:lvl>
    <w:lvl w:ilvl="8">
      <w:start w:val="0"/>
      <w:numFmt w:val="bullet"/>
      <w:lvlText w:val="•"/>
      <w:lvlJc w:val="left"/>
      <w:pPr>
        <w:ind w:left="8389" w:hanging="291"/>
      </w:pPr>
      <w:rPr>
        <w:rFonts w:hint="default"/>
        <w:lang w:val="en-US" w:eastAsia="en-US" w:bidi="en-US"/>
      </w:rPr>
    </w:lvl>
  </w:abstractNum>
  <w:abstractNum w:abstractNumId="59">
    <w:multiLevelType w:val="hybridMultilevel"/>
    <w:lvl w:ilvl="0">
      <w:start w:val="1"/>
      <w:numFmt w:val="upperLetter"/>
      <w:lvlText w:val="%1"/>
      <w:lvlJc w:val="left"/>
      <w:pPr>
        <w:ind w:left="278" w:hanging="526"/>
        <w:jc w:val="left"/>
      </w:pPr>
      <w:rPr>
        <w:rFonts w:hint="default"/>
        <w:lang w:val="en-US" w:eastAsia="en-US" w:bidi="en-US"/>
      </w:rPr>
    </w:lvl>
    <w:lvl w:ilvl="1">
      <w:start w:val="9"/>
      <w:numFmt w:val="decimal"/>
      <w:lvlText w:val="%1.%2"/>
      <w:lvlJc w:val="left"/>
      <w:pPr>
        <w:ind w:left="278" w:hanging="526"/>
        <w:jc w:val="left"/>
      </w:pPr>
      <w:rPr>
        <w:rFonts w:hint="default"/>
        <w:lang w:val="en-US" w:eastAsia="en-US" w:bidi="en-US"/>
      </w:rPr>
    </w:lvl>
    <w:lvl w:ilvl="2">
      <w:start w:val="1"/>
      <w:numFmt w:val="decimal"/>
      <w:lvlText w:val="%1.%2.%3"/>
      <w:lvlJc w:val="left"/>
      <w:pPr>
        <w:ind w:left="278" w:hanging="526"/>
        <w:jc w:val="left"/>
      </w:pPr>
      <w:rPr>
        <w:rFonts w:hint="default" w:ascii="黑体" w:hAnsi="黑体" w:eastAsia="黑体" w:cs="黑体"/>
        <w:spacing w:val="-2"/>
        <w:w w:val="99"/>
        <w:sz w:val="19"/>
        <w:szCs w:val="19"/>
        <w:lang w:val="en-US" w:eastAsia="en-US" w:bidi="en-US"/>
      </w:rPr>
    </w:lvl>
    <w:lvl w:ilvl="3">
      <w:start w:val="1"/>
      <w:numFmt w:val="lowerLetter"/>
      <w:lvlText w:val="%4)"/>
      <w:lvlJc w:val="left"/>
      <w:pPr>
        <w:ind w:left="1058" w:hanging="360"/>
        <w:jc w:val="left"/>
      </w:pPr>
      <w:rPr>
        <w:rFonts w:hint="default" w:ascii="宋体" w:hAnsi="宋体" w:eastAsia="宋体" w:cs="宋体"/>
        <w:spacing w:val="0"/>
        <w:w w:val="99"/>
        <w:sz w:val="21"/>
        <w:szCs w:val="21"/>
        <w:lang w:val="en-US" w:eastAsia="en-US" w:bidi="en-US"/>
      </w:rPr>
    </w:lvl>
    <w:lvl w:ilvl="4">
      <w:start w:val="1"/>
      <w:numFmt w:val="decimal"/>
      <w:lvlText w:val="%5)"/>
      <w:lvlJc w:val="left"/>
      <w:pPr>
        <w:ind w:left="1478" w:hanging="360"/>
        <w:jc w:val="left"/>
      </w:pPr>
      <w:rPr>
        <w:rFonts w:hint="default" w:ascii="Times New Roman" w:hAnsi="Times New Roman" w:eastAsia="Times New Roman" w:cs="Times New Roman"/>
        <w:spacing w:val="0"/>
        <w:w w:val="99"/>
        <w:sz w:val="21"/>
        <w:szCs w:val="21"/>
        <w:lang w:val="en-US" w:eastAsia="en-US" w:bidi="en-US"/>
      </w:rPr>
    </w:lvl>
    <w:lvl w:ilvl="5">
      <w:start w:val="1"/>
      <w:numFmt w:val="lowerRoman"/>
      <w:lvlText w:val="%6）"/>
      <w:lvlJc w:val="left"/>
      <w:pPr>
        <w:ind w:left="1980" w:hanging="406"/>
        <w:jc w:val="left"/>
      </w:pPr>
      <w:rPr>
        <w:rFonts w:hint="default" w:ascii="Times New Roman" w:hAnsi="Times New Roman" w:eastAsia="Times New Roman" w:cs="Times New Roman"/>
        <w:spacing w:val="0"/>
        <w:w w:val="99"/>
        <w:sz w:val="21"/>
        <w:szCs w:val="21"/>
        <w:lang w:val="en-US" w:eastAsia="en-US" w:bidi="en-US"/>
      </w:rPr>
    </w:lvl>
    <w:lvl w:ilvl="6">
      <w:start w:val="0"/>
      <w:numFmt w:val="bullet"/>
      <w:lvlText w:val="•"/>
      <w:lvlJc w:val="left"/>
      <w:pPr>
        <w:ind w:left="4662" w:hanging="406"/>
      </w:pPr>
      <w:rPr>
        <w:rFonts w:hint="default"/>
        <w:lang w:val="en-US" w:eastAsia="en-US" w:bidi="en-US"/>
      </w:rPr>
    </w:lvl>
    <w:lvl w:ilvl="7">
      <w:start w:val="0"/>
      <w:numFmt w:val="bullet"/>
      <w:lvlText w:val="•"/>
      <w:lvlJc w:val="left"/>
      <w:pPr>
        <w:ind w:left="6003" w:hanging="406"/>
      </w:pPr>
      <w:rPr>
        <w:rFonts w:hint="default"/>
        <w:lang w:val="en-US" w:eastAsia="en-US" w:bidi="en-US"/>
      </w:rPr>
    </w:lvl>
    <w:lvl w:ilvl="8">
      <w:start w:val="0"/>
      <w:numFmt w:val="bullet"/>
      <w:lvlText w:val="•"/>
      <w:lvlJc w:val="left"/>
      <w:pPr>
        <w:ind w:left="7344" w:hanging="406"/>
      </w:pPr>
      <w:rPr>
        <w:rFonts w:hint="default"/>
        <w:lang w:val="en-US" w:eastAsia="en-US" w:bidi="en-US"/>
      </w:rPr>
    </w:lvl>
  </w:abstractNum>
  <w:abstractNum w:abstractNumId="58">
    <w:multiLevelType w:val="hybridMultilevel"/>
    <w:lvl w:ilvl="0">
      <w:start w:val="1"/>
      <w:numFmt w:val="lowerLetter"/>
      <w:lvlText w:val="%1）"/>
      <w:lvlJc w:val="left"/>
      <w:pPr>
        <w:ind w:left="1106"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1992" w:hanging="408"/>
      </w:pPr>
      <w:rPr>
        <w:rFonts w:hint="default"/>
        <w:lang w:val="en-US" w:eastAsia="en-US" w:bidi="en-US"/>
      </w:rPr>
    </w:lvl>
    <w:lvl w:ilvl="2">
      <w:start w:val="0"/>
      <w:numFmt w:val="bullet"/>
      <w:lvlText w:val="•"/>
      <w:lvlJc w:val="left"/>
      <w:pPr>
        <w:ind w:left="2885" w:hanging="408"/>
      </w:pPr>
      <w:rPr>
        <w:rFonts w:hint="default"/>
        <w:lang w:val="en-US" w:eastAsia="en-US" w:bidi="en-US"/>
      </w:rPr>
    </w:lvl>
    <w:lvl w:ilvl="3">
      <w:start w:val="0"/>
      <w:numFmt w:val="bullet"/>
      <w:lvlText w:val="•"/>
      <w:lvlJc w:val="left"/>
      <w:pPr>
        <w:ind w:left="3778" w:hanging="408"/>
      </w:pPr>
      <w:rPr>
        <w:rFonts w:hint="default"/>
        <w:lang w:val="en-US" w:eastAsia="en-US" w:bidi="en-US"/>
      </w:rPr>
    </w:lvl>
    <w:lvl w:ilvl="4">
      <w:start w:val="0"/>
      <w:numFmt w:val="bullet"/>
      <w:lvlText w:val="•"/>
      <w:lvlJc w:val="left"/>
      <w:pPr>
        <w:ind w:left="4670" w:hanging="408"/>
      </w:pPr>
      <w:rPr>
        <w:rFonts w:hint="default"/>
        <w:lang w:val="en-US" w:eastAsia="en-US" w:bidi="en-US"/>
      </w:rPr>
    </w:lvl>
    <w:lvl w:ilvl="5">
      <w:start w:val="0"/>
      <w:numFmt w:val="bullet"/>
      <w:lvlText w:val="•"/>
      <w:lvlJc w:val="left"/>
      <w:pPr>
        <w:ind w:left="5563" w:hanging="408"/>
      </w:pPr>
      <w:rPr>
        <w:rFonts w:hint="default"/>
        <w:lang w:val="en-US" w:eastAsia="en-US" w:bidi="en-US"/>
      </w:rPr>
    </w:lvl>
    <w:lvl w:ilvl="6">
      <w:start w:val="0"/>
      <w:numFmt w:val="bullet"/>
      <w:lvlText w:val="•"/>
      <w:lvlJc w:val="left"/>
      <w:pPr>
        <w:ind w:left="6456" w:hanging="408"/>
      </w:pPr>
      <w:rPr>
        <w:rFonts w:hint="default"/>
        <w:lang w:val="en-US" w:eastAsia="en-US" w:bidi="en-US"/>
      </w:rPr>
    </w:lvl>
    <w:lvl w:ilvl="7">
      <w:start w:val="0"/>
      <w:numFmt w:val="bullet"/>
      <w:lvlText w:val="•"/>
      <w:lvlJc w:val="left"/>
      <w:pPr>
        <w:ind w:left="7348" w:hanging="408"/>
      </w:pPr>
      <w:rPr>
        <w:rFonts w:hint="default"/>
        <w:lang w:val="en-US" w:eastAsia="en-US" w:bidi="en-US"/>
      </w:rPr>
    </w:lvl>
    <w:lvl w:ilvl="8">
      <w:start w:val="0"/>
      <w:numFmt w:val="bullet"/>
      <w:lvlText w:val="•"/>
      <w:lvlJc w:val="left"/>
      <w:pPr>
        <w:ind w:left="8241" w:hanging="408"/>
      </w:pPr>
      <w:rPr>
        <w:rFonts w:hint="default"/>
        <w:lang w:val="en-US" w:eastAsia="en-US" w:bidi="en-US"/>
      </w:rPr>
    </w:lvl>
  </w:abstractNum>
  <w:abstractNum w:abstractNumId="57">
    <w:multiLevelType w:val="hybridMultilevel"/>
    <w:lvl w:ilvl="0">
      <w:start w:val="1"/>
      <w:numFmt w:val="upperLetter"/>
      <w:lvlText w:val="%1"/>
      <w:lvlJc w:val="left"/>
      <w:pPr>
        <w:ind w:left="1327" w:hanging="1049"/>
        <w:jc w:val="left"/>
      </w:pPr>
      <w:rPr>
        <w:rFonts w:hint="default"/>
        <w:lang w:val="en-US" w:eastAsia="en-US" w:bidi="en-US"/>
      </w:rPr>
    </w:lvl>
    <w:lvl w:ilvl="1">
      <w:start w:val="8"/>
      <w:numFmt w:val="decimal"/>
      <w:lvlText w:val="%1.%2"/>
      <w:lvlJc w:val="left"/>
      <w:pPr>
        <w:ind w:left="1327" w:hanging="1049"/>
        <w:jc w:val="left"/>
      </w:pPr>
      <w:rPr>
        <w:rFonts w:hint="default"/>
        <w:lang w:val="en-US" w:eastAsia="en-US" w:bidi="en-US"/>
      </w:rPr>
    </w:lvl>
    <w:lvl w:ilvl="2">
      <w:start w:val="1"/>
      <w:numFmt w:val="decimal"/>
      <w:lvlText w:val="%1.%2.%3"/>
      <w:lvlJc w:val="left"/>
      <w:pPr>
        <w:ind w:left="1327" w:hanging="1049"/>
        <w:jc w:val="left"/>
      </w:pPr>
      <w:rPr>
        <w:rFonts w:hint="default"/>
        <w:lang w:val="en-US" w:eastAsia="en-US" w:bidi="en-US"/>
      </w:rPr>
    </w:lvl>
    <w:lvl w:ilvl="3">
      <w:start w:val="4"/>
      <w:numFmt w:val="decimal"/>
      <w:lvlText w:val="%1.%2.%3.%4"/>
      <w:lvlJc w:val="left"/>
      <w:pPr>
        <w:ind w:left="1327" w:hanging="1049"/>
        <w:jc w:val="left"/>
      </w:pPr>
      <w:rPr>
        <w:rFonts w:hint="default"/>
        <w:lang w:val="en-US" w:eastAsia="en-US" w:bidi="en-US"/>
      </w:rPr>
    </w:lvl>
    <w:lvl w:ilvl="4">
      <w:start w:val="1"/>
      <w:numFmt w:val="decimal"/>
      <w:lvlText w:val="%1.%2.%3.%4.%5"/>
      <w:lvlJc w:val="left"/>
      <w:pPr>
        <w:ind w:left="1327" w:hanging="1049"/>
        <w:jc w:val="left"/>
      </w:pPr>
      <w:rPr>
        <w:rFonts w:hint="default" w:ascii="黑体" w:hAnsi="黑体" w:eastAsia="黑体" w:cs="黑体"/>
        <w:spacing w:val="-2"/>
        <w:w w:val="99"/>
        <w:sz w:val="21"/>
        <w:szCs w:val="21"/>
        <w:lang w:val="en-US" w:eastAsia="en-US" w:bidi="en-US"/>
      </w:rPr>
    </w:lvl>
    <w:lvl w:ilvl="5">
      <w:start w:val="1"/>
      <w:numFmt w:val="lowerLetter"/>
      <w:lvlText w:val="%6)"/>
      <w:lvlJc w:val="left"/>
      <w:pPr>
        <w:ind w:left="1058" w:hanging="360"/>
        <w:jc w:val="left"/>
      </w:pPr>
      <w:rPr>
        <w:rFonts w:hint="default" w:ascii="宋体" w:hAnsi="宋体" w:eastAsia="宋体" w:cs="宋体"/>
        <w:spacing w:val="0"/>
        <w:w w:val="99"/>
        <w:sz w:val="21"/>
        <w:szCs w:val="21"/>
        <w:lang w:val="en-US" w:eastAsia="en-US" w:bidi="en-US"/>
      </w:rPr>
    </w:lvl>
    <w:lvl w:ilvl="6">
      <w:start w:val="0"/>
      <w:numFmt w:val="bullet"/>
      <w:lvlText w:val="•"/>
      <w:lvlJc w:val="left"/>
      <w:pPr>
        <w:ind w:left="6157" w:hanging="360"/>
      </w:pPr>
      <w:rPr>
        <w:rFonts w:hint="default"/>
        <w:lang w:val="en-US" w:eastAsia="en-US" w:bidi="en-US"/>
      </w:rPr>
    </w:lvl>
    <w:lvl w:ilvl="7">
      <w:start w:val="0"/>
      <w:numFmt w:val="bullet"/>
      <w:lvlText w:val="•"/>
      <w:lvlJc w:val="left"/>
      <w:pPr>
        <w:ind w:left="7124" w:hanging="360"/>
      </w:pPr>
      <w:rPr>
        <w:rFonts w:hint="default"/>
        <w:lang w:val="en-US" w:eastAsia="en-US" w:bidi="en-US"/>
      </w:rPr>
    </w:lvl>
    <w:lvl w:ilvl="8">
      <w:start w:val="0"/>
      <w:numFmt w:val="bullet"/>
      <w:lvlText w:val="•"/>
      <w:lvlJc w:val="left"/>
      <w:pPr>
        <w:ind w:left="8092" w:hanging="360"/>
      </w:pPr>
      <w:rPr>
        <w:rFonts w:hint="default"/>
        <w:lang w:val="en-US" w:eastAsia="en-US" w:bidi="en-US"/>
      </w:rPr>
    </w:lvl>
  </w:abstractNum>
  <w:abstractNum w:abstractNumId="56">
    <w:multiLevelType w:val="hybridMultilevel"/>
    <w:lvl w:ilvl="0">
      <w:start w:val="1"/>
      <w:numFmt w:val="upperLetter"/>
      <w:lvlText w:val="%1"/>
      <w:lvlJc w:val="left"/>
      <w:pPr>
        <w:ind w:left="907" w:hanging="629"/>
        <w:jc w:val="left"/>
      </w:pPr>
      <w:rPr>
        <w:rFonts w:hint="default"/>
        <w:lang w:val="en-US" w:eastAsia="en-US" w:bidi="en-US"/>
      </w:rPr>
    </w:lvl>
    <w:lvl w:ilvl="1">
      <w:start w:val="8"/>
      <w:numFmt w:val="decimal"/>
      <w:lvlText w:val="%1.%2"/>
      <w:lvlJc w:val="left"/>
      <w:pPr>
        <w:ind w:left="907" w:hanging="629"/>
        <w:jc w:val="left"/>
      </w:pPr>
      <w:rPr>
        <w:rFonts w:hint="default"/>
        <w:lang w:val="en-US" w:eastAsia="en-US" w:bidi="en-US"/>
      </w:rPr>
    </w:lvl>
    <w:lvl w:ilvl="2">
      <w:start w:val="1"/>
      <w:numFmt w:val="decimal"/>
      <w:lvlText w:val="%1.%2.%3"/>
      <w:lvlJc w:val="left"/>
      <w:pPr>
        <w:ind w:left="907" w:hanging="629"/>
        <w:jc w:val="left"/>
      </w:pPr>
      <w:rPr>
        <w:rFonts w:hint="default" w:ascii="黑体" w:hAnsi="黑体" w:eastAsia="黑体" w:cs="黑体"/>
        <w:spacing w:val="-2"/>
        <w:w w:val="99"/>
        <w:sz w:val="21"/>
        <w:szCs w:val="21"/>
        <w:lang w:val="en-US" w:eastAsia="en-US" w:bidi="en-US"/>
      </w:rPr>
    </w:lvl>
    <w:lvl w:ilvl="3">
      <w:start w:val="1"/>
      <w:numFmt w:val="decimal"/>
      <w:lvlText w:val="%1.%2.%3.%4"/>
      <w:lvlJc w:val="left"/>
      <w:pPr>
        <w:ind w:left="1118" w:hanging="840"/>
        <w:jc w:val="left"/>
      </w:pPr>
      <w:rPr>
        <w:rFonts w:hint="default" w:ascii="黑体" w:hAnsi="黑体" w:eastAsia="黑体" w:cs="黑体"/>
        <w:spacing w:val="-2"/>
        <w:w w:val="99"/>
        <w:sz w:val="21"/>
        <w:szCs w:val="21"/>
        <w:lang w:val="en-US" w:eastAsia="en-US" w:bidi="en-US"/>
      </w:rPr>
    </w:lvl>
    <w:lvl w:ilvl="4">
      <w:start w:val="1"/>
      <w:numFmt w:val="lowerLetter"/>
      <w:lvlText w:val="%5)"/>
      <w:lvlJc w:val="left"/>
      <w:pPr>
        <w:ind w:left="1058" w:hanging="360"/>
        <w:jc w:val="left"/>
      </w:pPr>
      <w:rPr>
        <w:rFonts w:hint="default" w:ascii="宋体" w:hAnsi="宋体" w:eastAsia="宋体" w:cs="宋体"/>
        <w:spacing w:val="0"/>
        <w:w w:val="99"/>
        <w:sz w:val="21"/>
        <w:szCs w:val="21"/>
        <w:lang w:val="en-US" w:eastAsia="en-US" w:bidi="en-US"/>
      </w:rPr>
    </w:lvl>
    <w:lvl w:ilvl="5">
      <w:start w:val="1"/>
      <w:numFmt w:val="decimal"/>
      <w:lvlText w:val="%6)"/>
      <w:lvlJc w:val="left"/>
      <w:pPr>
        <w:ind w:left="1478" w:hanging="360"/>
        <w:jc w:val="left"/>
      </w:pPr>
      <w:rPr>
        <w:rFonts w:hint="default" w:ascii="Times New Roman" w:hAnsi="Times New Roman" w:eastAsia="Times New Roman" w:cs="Times New Roman"/>
        <w:spacing w:val="0"/>
        <w:w w:val="99"/>
        <w:sz w:val="21"/>
        <w:szCs w:val="21"/>
        <w:lang w:val="en-US" w:eastAsia="en-US" w:bidi="en-US"/>
      </w:rPr>
    </w:lvl>
    <w:lvl w:ilvl="6">
      <w:start w:val="0"/>
      <w:numFmt w:val="bullet"/>
      <w:lvlText w:val="•"/>
      <w:lvlJc w:val="left"/>
      <w:pPr>
        <w:ind w:left="5143" w:hanging="360"/>
      </w:pPr>
      <w:rPr>
        <w:rFonts w:hint="default"/>
        <w:lang w:val="en-US" w:eastAsia="en-US" w:bidi="en-US"/>
      </w:rPr>
    </w:lvl>
    <w:lvl w:ilvl="7">
      <w:start w:val="0"/>
      <w:numFmt w:val="bullet"/>
      <w:lvlText w:val="•"/>
      <w:lvlJc w:val="left"/>
      <w:pPr>
        <w:ind w:left="6364" w:hanging="360"/>
      </w:pPr>
      <w:rPr>
        <w:rFonts w:hint="default"/>
        <w:lang w:val="en-US" w:eastAsia="en-US" w:bidi="en-US"/>
      </w:rPr>
    </w:lvl>
    <w:lvl w:ilvl="8">
      <w:start w:val="0"/>
      <w:numFmt w:val="bullet"/>
      <w:lvlText w:val="•"/>
      <w:lvlJc w:val="left"/>
      <w:pPr>
        <w:ind w:left="7585" w:hanging="360"/>
      </w:pPr>
      <w:rPr>
        <w:rFonts w:hint="default"/>
        <w:lang w:val="en-US" w:eastAsia="en-US" w:bidi="en-US"/>
      </w:rPr>
    </w:lvl>
  </w:abstractNum>
  <w:abstractNum w:abstractNumId="55">
    <w:multiLevelType w:val="hybridMultilevel"/>
    <w:lvl w:ilvl="0">
      <w:start w:val="1"/>
      <w:numFmt w:val="upperLetter"/>
      <w:lvlText w:val="%1"/>
      <w:lvlJc w:val="left"/>
      <w:pPr>
        <w:ind w:left="907" w:hanging="629"/>
        <w:jc w:val="left"/>
      </w:pPr>
      <w:rPr>
        <w:rFonts w:hint="default"/>
        <w:lang w:val="en-US" w:eastAsia="en-US" w:bidi="en-US"/>
      </w:rPr>
    </w:lvl>
    <w:lvl w:ilvl="1">
      <w:start w:val="7"/>
      <w:numFmt w:val="decimal"/>
      <w:lvlText w:val="%1.%2"/>
      <w:lvlJc w:val="left"/>
      <w:pPr>
        <w:ind w:left="907" w:hanging="629"/>
        <w:jc w:val="left"/>
      </w:pPr>
      <w:rPr>
        <w:rFonts w:hint="default"/>
        <w:lang w:val="en-US" w:eastAsia="en-US" w:bidi="en-US"/>
      </w:rPr>
    </w:lvl>
    <w:lvl w:ilvl="2">
      <w:start w:val="1"/>
      <w:numFmt w:val="decimal"/>
      <w:lvlText w:val="%1.%2.%3"/>
      <w:lvlJc w:val="left"/>
      <w:pPr>
        <w:ind w:left="907" w:hanging="629"/>
        <w:jc w:val="left"/>
      </w:pPr>
      <w:rPr>
        <w:rFonts w:hint="default" w:ascii="黑体" w:hAnsi="黑体" w:eastAsia="黑体" w:cs="黑体"/>
        <w:spacing w:val="-2"/>
        <w:w w:val="99"/>
        <w:sz w:val="21"/>
        <w:szCs w:val="21"/>
        <w:lang w:val="en-US" w:eastAsia="en-US" w:bidi="en-US"/>
      </w:rPr>
    </w:lvl>
    <w:lvl w:ilvl="3">
      <w:start w:val="1"/>
      <w:numFmt w:val="lowerLetter"/>
      <w:lvlText w:val="%4)"/>
      <w:lvlJc w:val="left"/>
      <w:pPr>
        <w:ind w:left="1058" w:hanging="360"/>
        <w:jc w:val="left"/>
      </w:pPr>
      <w:rPr>
        <w:rFonts w:hint="default" w:ascii="宋体" w:hAnsi="宋体" w:eastAsia="宋体" w:cs="宋体"/>
        <w:spacing w:val="0"/>
        <w:w w:val="99"/>
        <w:sz w:val="21"/>
        <w:szCs w:val="21"/>
        <w:lang w:val="en-US" w:eastAsia="en-US" w:bidi="en-US"/>
      </w:rPr>
    </w:lvl>
    <w:lvl w:ilvl="4">
      <w:start w:val="0"/>
      <w:numFmt w:val="bullet"/>
      <w:lvlText w:val="•"/>
      <w:lvlJc w:val="left"/>
      <w:pPr>
        <w:ind w:left="4049" w:hanging="360"/>
      </w:pPr>
      <w:rPr>
        <w:rFonts w:hint="default"/>
        <w:lang w:val="en-US" w:eastAsia="en-US" w:bidi="en-US"/>
      </w:rPr>
    </w:lvl>
    <w:lvl w:ilvl="5">
      <w:start w:val="0"/>
      <w:numFmt w:val="bullet"/>
      <w:lvlText w:val="•"/>
      <w:lvlJc w:val="left"/>
      <w:pPr>
        <w:ind w:left="5045" w:hanging="360"/>
      </w:pPr>
      <w:rPr>
        <w:rFonts w:hint="default"/>
        <w:lang w:val="en-US" w:eastAsia="en-US" w:bidi="en-US"/>
      </w:rPr>
    </w:lvl>
    <w:lvl w:ilvl="6">
      <w:start w:val="0"/>
      <w:numFmt w:val="bullet"/>
      <w:lvlText w:val="•"/>
      <w:lvlJc w:val="left"/>
      <w:pPr>
        <w:ind w:left="6041" w:hanging="360"/>
      </w:pPr>
      <w:rPr>
        <w:rFonts w:hint="default"/>
        <w:lang w:val="en-US" w:eastAsia="en-US" w:bidi="en-US"/>
      </w:rPr>
    </w:lvl>
    <w:lvl w:ilvl="7">
      <w:start w:val="0"/>
      <w:numFmt w:val="bullet"/>
      <w:lvlText w:val="•"/>
      <w:lvlJc w:val="left"/>
      <w:pPr>
        <w:ind w:left="7038" w:hanging="360"/>
      </w:pPr>
      <w:rPr>
        <w:rFonts w:hint="default"/>
        <w:lang w:val="en-US" w:eastAsia="en-US" w:bidi="en-US"/>
      </w:rPr>
    </w:lvl>
    <w:lvl w:ilvl="8">
      <w:start w:val="0"/>
      <w:numFmt w:val="bullet"/>
      <w:lvlText w:val="•"/>
      <w:lvlJc w:val="left"/>
      <w:pPr>
        <w:ind w:left="8034" w:hanging="360"/>
      </w:pPr>
      <w:rPr>
        <w:rFonts w:hint="default"/>
        <w:lang w:val="en-US" w:eastAsia="en-US" w:bidi="en-US"/>
      </w:rPr>
    </w:lvl>
  </w:abstractNum>
  <w:abstractNum w:abstractNumId="54">
    <w:multiLevelType w:val="hybridMultilevel"/>
    <w:lvl w:ilvl="0">
      <w:start w:val="1"/>
      <w:numFmt w:val="upperLetter"/>
      <w:lvlText w:val="%1"/>
      <w:lvlJc w:val="left"/>
      <w:pPr>
        <w:ind w:left="907" w:hanging="629"/>
        <w:jc w:val="left"/>
      </w:pPr>
      <w:rPr>
        <w:rFonts w:hint="default"/>
        <w:lang w:val="en-US" w:eastAsia="en-US" w:bidi="en-US"/>
      </w:rPr>
    </w:lvl>
    <w:lvl w:ilvl="1">
      <w:start w:val="6"/>
      <w:numFmt w:val="decimal"/>
      <w:lvlText w:val="%1.%2"/>
      <w:lvlJc w:val="left"/>
      <w:pPr>
        <w:ind w:left="907" w:hanging="629"/>
        <w:jc w:val="left"/>
      </w:pPr>
      <w:rPr>
        <w:rFonts w:hint="default"/>
        <w:lang w:val="en-US" w:eastAsia="en-US" w:bidi="en-US"/>
      </w:rPr>
    </w:lvl>
    <w:lvl w:ilvl="2">
      <w:start w:val="2"/>
      <w:numFmt w:val="decimal"/>
      <w:lvlText w:val="%1.%2.%3"/>
      <w:lvlJc w:val="left"/>
      <w:pPr>
        <w:ind w:left="907" w:hanging="629"/>
        <w:jc w:val="left"/>
      </w:pPr>
      <w:rPr>
        <w:rFonts w:hint="default" w:ascii="黑体" w:hAnsi="黑体" w:eastAsia="黑体" w:cs="黑体"/>
        <w:spacing w:val="-2"/>
        <w:w w:val="99"/>
        <w:sz w:val="21"/>
        <w:szCs w:val="21"/>
        <w:lang w:val="en-US" w:eastAsia="en-US" w:bidi="en-US"/>
      </w:rPr>
    </w:lvl>
    <w:lvl w:ilvl="3">
      <w:start w:val="1"/>
      <w:numFmt w:val="decimal"/>
      <w:lvlText w:val="%1.%2.%3.%4"/>
      <w:lvlJc w:val="left"/>
      <w:pPr>
        <w:ind w:left="1118" w:hanging="840"/>
        <w:jc w:val="left"/>
      </w:pPr>
      <w:rPr>
        <w:rFonts w:hint="default" w:ascii="黑体" w:hAnsi="黑体" w:eastAsia="黑体" w:cs="黑体"/>
        <w:spacing w:val="-2"/>
        <w:w w:val="99"/>
        <w:sz w:val="21"/>
        <w:szCs w:val="21"/>
        <w:lang w:val="en-US" w:eastAsia="en-US" w:bidi="en-US"/>
      </w:rPr>
    </w:lvl>
    <w:lvl w:ilvl="4">
      <w:start w:val="1"/>
      <w:numFmt w:val="lowerLetter"/>
      <w:lvlText w:val="%5)"/>
      <w:lvlJc w:val="left"/>
      <w:pPr>
        <w:ind w:left="1058" w:hanging="360"/>
        <w:jc w:val="left"/>
      </w:pPr>
      <w:rPr>
        <w:rFonts w:hint="default" w:ascii="宋体" w:hAnsi="宋体" w:eastAsia="宋体" w:cs="宋体"/>
        <w:spacing w:val="0"/>
        <w:w w:val="99"/>
        <w:sz w:val="21"/>
        <w:szCs w:val="21"/>
        <w:lang w:val="en-US" w:eastAsia="en-US" w:bidi="en-US"/>
      </w:rPr>
    </w:lvl>
    <w:lvl w:ilvl="5">
      <w:start w:val="0"/>
      <w:numFmt w:val="bullet"/>
      <w:lvlText w:val="•"/>
      <w:lvlJc w:val="left"/>
      <w:pPr>
        <w:ind w:left="4460" w:hanging="360"/>
      </w:pPr>
      <w:rPr>
        <w:rFonts w:hint="default"/>
        <w:lang w:val="en-US" w:eastAsia="en-US" w:bidi="en-US"/>
      </w:rPr>
    </w:lvl>
    <w:lvl w:ilvl="6">
      <w:start w:val="0"/>
      <w:numFmt w:val="bullet"/>
      <w:lvlText w:val="•"/>
      <w:lvlJc w:val="left"/>
      <w:pPr>
        <w:ind w:left="5573" w:hanging="360"/>
      </w:pPr>
      <w:rPr>
        <w:rFonts w:hint="default"/>
        <w:lang w:val="en-US" w:eastAsia="en-US" w:bidi="en-US"/>
      </w:rPr>
    </w:lvl>
    <w:lvl w:ilvl="7">
      <w:start w:val="0"/>
      <w:numFmt w:val="bullet"/>
      <w:lvlText w:val="•"/>
      <w:lvlJc w:val="left"/>
      <w:pPr>
        <w:ind w:left="6686" w:hanging="360"/>
      </w:pPr>
      <w:rPr>
        <w:rFonts w:hint="default"/>
        <w:lang w:val="en-US" w:eastAsia="en-US" w:bidi="en-US"/>
      </w:rPr>
    </w:lvl>
    <w:lvl w:ilvl="8">
      <w:start w:val="0"/>
      <w:numFmt w:val="bullet"/>
      <w:lvlText w:val="•"/>
      <w:lvlJc w:val="left"/>
      <w:pPr>
        <w:ind w:left="7800" w:hanging="360"/>
      </w:pPr>
      <w:rPr>
        <w:rFonts w:hint="default"/>
        <w:lang w:val="en-US" w:eastAsia="en-US" w:bidi="en-US"/>
      </w:rPr>
    </w:lvl>
  </w:abstractNum>
  <w:abstractNum w:abstractNumId="53">
    <w:multiLevelType w:val="hybridMultilevel"/>
    <w:lvl w:ilvl="0">
      <w:start w:val="1"/>
      <w:numFmt w:val="upperLetter"/>
      <w:lvlText w:val="%1"/>
      <w:lvlJc w:val="left"/>
      <w:pPr>
        <w:ind w:left="1327" w:hanging="1049"/>
        <w:jc w:val="left"/>
      </w:pPr>
      <w:rPr>
        <w:rFonts w:hint="default"/>
        <w:lang w:val="en-US" w:eastAsia="en-US" w:bidi="en-US"/>
      </w:rPr>
    </w:lvl>
    <w:lvl w:ilvl="1">
      <w:start w:val="6"/>
      <w:numFmt w:val="decimal"/>
      <w:lvlText w:val="%1.%2"/>
      <w:lvlJc w:val="left"/>
      <w:pPr>
        <w:ind w:left="1327" w:hanging="1049"/>
        <w:jc w:val="left"/>
      </w:pPr>
      <w:rPr>
        <w:rFonts w:hint="default"/>
        <w:lang w:val="en-US" w:eastAsia="en-US" w:bidi="en-US"/>
      </w:rPr>
    </w:lvl>
    <w:lvl w:ilvl="2">
      <w:start w:val="1"/>
      <w:numFmt w:val="decimal"/>
      <w:lvlText w:val="%1.%2.%3"/>
      <w:lvlJc w:val="left"/>
      <w:pPr>
        <w:ind w:left="1327" w:hanging="1049"/>
        <w:jc w:val="left"/>
      </w:pPr>
      <w:rPr>
        <w:rFonts w:hint="default"/>
        <w:lang w:val="en-US" w:eastAsia="en-US" w:bidi="en-US"/>
      </w:rPr>
    </w:lvl>
    <w:lvl w:ilvl="3">
      <w:start w:val="2"/>
      <w:numFmt w:val="decimal"/>
      <w:lvlText w:val="%1.%2.%3.%4"/>
      <w:lvlJc w:val="left"/>
      <w:pPr>
        <w:ind w:left="1327" w:hanging="1049"/>
        <w:jc w:val="left"/>
      </w:pPr>
      <w:rPr>
        <w:rFonts w:hint="default"/>
        <w:lang w:val="en-US" w:eastAsia="en-US" w:bidi="en-US"/>
      </w:rPr>
    </w:lvl>
    <w:lvl w:ilvl="4">
      <w:start w:val="1"/>
      <w:numFmt w:val="decimal"/>
      <w:lvlText w:val="%1.%2.%3.%4.%5"/>
      <w:lvlJc w:val="left"/>
      <w:pPr>
        <w:ind w:left="1327" w:hanging="1049"/>
        <w:jc w:val="left"/>
      </w:pPr>
      <w:rPr>
        <w:rFonts w:hint="default" w:ascii="黑体" w:hAnsi="黑体" w:eastAsia="黑体" w:cs="黑体"/>
        <w:spacing w:val="-2"/>
        <w:w w:val="99"/>
        <w:sz w:val="21"/>
        <w:szCs w:val="21"/>
        <w:lang w:val="en-US" w:eastAsia="en-US" w:bidi="en-US"/>
      </w:rPr>
    </w:lvl>
    <w:lvl w:ilvl="5">
      <w:start w:val="1"/>
      <w:numFmt w:val="lowerLetter"/>
      <w:lvlText w:val="%6)"/>
      <w:lvlJc w:val="left"/>
      <w:pPr>
        <w:ind w:left="1058" w:hanging="360"/>
        <w:jc w:val="left"/>
      </w:pPr>
      <w:rPr>
        <w:rFonts w:hint="default" w:ascii="宋体" w:hAnsi="宋体" w:eastAsia="宋体" w:cs="宋体"/>
        <w:spacing w:val="0"/>
        <w:w w:val="99"/>
        <w:sz w:val="21"/>
        <w:szCs w:val="21"/>
        <w:lang w:val="en-US" w:eastAsia="en-US" w:bidi="en-US"/>
      </w:rPr>
    </w:lvl>
    <w:lvl w:ilvl="6">
      <w:start w:val="1"/>
      <w:numFmt w:val="decimal"/>
      <w:lvlText w:val="%7)"/>
      <w:lvlJc w:val="left"/>
      <w:pPr>
        <w:ind w:left="1478" w:hanging="360"/>
        <w:jc w:val="left"/>
      </w:pPr>
      <w:rPr>
        <w:rFonts w:hint="default" w:ascii="Times New Roman" w:hAnsi="Times New Roman" w:eastAsia="Times New Roman" w:cs="Times New Roman"/>
        <w:spacing w:val="0"/>
        <w:w w:val="99"/>
        <w:sz w:val="21"/>
        <w:szCs w:val="21"/>
        <w:lang w:val="en-US" w:eastAsia="en-US" w:bidi="en-US"/>
      </w:rPr>
    </w:lvl>
    <w:lvl w:ilvl="7">
      <w:start w:val="0"/>
      <w:numFmt w:val="bullet"/>
      <w:lvlText w:val="•"/>
      <w:lvlJc w:val="left"/>
      <w:pPr>
        <w:ind w:left="6821" w:hanging="360"/>
      </w:pPr>
      <w:rPr>
        <w:rFonts w:hint="default"/>
        <w:lang w:val="en-US" w:eastAsia="en-US" w:bidi="en-US"/>
      </w:rPr>
    </w:lvl>
    <w:lvl w:ilvl="8">
      <w:start w:val="0"/>
      <w:numFmt w:val="bullet"/>
      <w:lvlText w:val="•"/>
      <w:lvlJc w:val="left"/>
      <w:pPr>
        <w:ind w:left="7890" w:hanging="360"/>
      </w:pPr>
      <w:rPr>
        <w:rFonts w:hint="default"/>
        <w:lang w:val="en-US" w:eastAsia="en-US" w:bidi="en-US"/>
      </w:rPr>
    </w:lvl>
  </w:abstractNum>
  <w:abstractNum w:abstractNumId="52">
    <w:multiLevelType w:val="hybridMultilevel"/>
    <w:lvl w:ilvl="0">
      <w:start w:val="1"/>
      <w:numFmt w:val="upperLetter"/>
      <w:lvlText w:val="%1"/>
      <w:lvlJc w:val="left"/>
      <w:pPr>
        <w:ind w:left="907" w:hanging="629"/>
        <w:jc w:val="left"/>
      </w:pPr>
      <w:rPr>
        <w:rFonts w:hint="default"/>
        <w:lang w:val="en-US" w:eastAsia="en-US" w:bidi="en-US"/>
      </w:rPr>
    </w:lvl>
    <w:lvl w:ilvl="1">
      <w:start w:val="6"/>
      <w:numFmt w:val="decimal"/>
      <w:lvlText w:val="%1.%2"/>
      <w:lvlJc w:val="left"/>
      <w:pPr>
        <w:ind w:left="907" w:hanging="629"/>
        <w:jc w:val="left"/>
      </w:pPr>
      <w:rPr>
        <w:rFonts w:hint="default"/>
        <w:lang w:val="en-US" w:eastAsia="en-US" w:bidi="en-US"/>
      </w:rPr>
    </w:lvl>
    <w:lvl w:ilvl="2">
      <w:start w:val="1"/>
      <w:numFmt w:val="decimal"/>
      <w:lvlText w:val="%1.%2.%3"/>
      <w:lvlJc w:val="left"/>
      <w:pPr>
        <w:ind w:left="907" w:hanging="629"/>
        <w:jc w:val="left"/>
      </w:pPr>
      <w:rPr>
        <w:rFonts w:hint="default" w:ascii="黑体" w:hAnsi="黑体" w:eastAsia="黑体" w:cs="黑体"/>
        <w:spacing w:val="-2"/>
        <w:w w:val="99"/>
        <w:sz w:val="21"/>
        <w:szCs w:val="21"/>
        <w:lang w:val="en-US" w:eastAsia="en-US" w:bidi="en-US"/>
      </w:rPr>
    </w:lvl>
    <w:lvl w:ilvl="3">
      <w:start w:val="1"/>
      <w:numFmt w:val="decimal"/>
      <w:lvlText w:val="%1.%2.%3.%4"/>
      <w:lvlJc w:val="left"/>
      <w:pPr>
        <w:ind w:left="1118" w:hanging="840"/>
        <w:jc w:val="left"/>
      </w:pPr>
      <w:rPr>
        <w:rFonts w:hint="default" w:ascii="黑体" w:hAnsi="黑体" w:eastAsia="黑体" w:cs="黑体"/>
        <w:spacing w:val="-2"/>
        <w:w w:val="99"/>
        <w:sz w:val="21"/>
        <w:szCs w:val="21"/>
        <w:lang w:val="en-US" w:eastAsia="en-US" w:bidi="en-US"/>
      </w:rPr>
    </w:lvl>
    <w:lvl w:ilvl="4">
      <w:start w:val="1"/>
      <w:numFmt w:val="lowerLetter"/>
      <w:lvlText w:val="%5)"/>
      <w:lvlJc w:val="left"/>
      <w:pPr>
        <w:ind w:left="1058" w:hanging="360"/>
        <w:jc w:val="left"/>
      </w:pPr>
      <w:rPr>
        <w:rFonts w:hint="default" w:ascii="宋体" w:hAnsi="宋体" w:eastAsia="宋体" w:cs="宋体"/>
        <w:spacing w:val="0"/>
        <w:w w:val="99"/>
        <w:sz w:val="21"/>
        <w:szCs w:val="21"/>
        <w:lang w:val="en-US" w:eastAsia="en-US" w:bidi="en-US"/>
      </w:rPr>
    </w:lvl>
    <w:lvl w:ilvl="5">
      <w:start w:val="1"/>
      <w:numFmt w:val="decimal"/>
      <w:lvlText w:val="%6)"/>
      <w:lvlJc w:val="left"/>
      <w:pPr>
        <w:ind w:left="1478" w:hanging="360"/>
        <w:jc w:val="left"/>
      </w:pPr>
      <w:rPr>
        <w:rFonts w:hint="default" w:ascii="Times New Roman" w:hAnsi="Times New Roman" w:eastAsia="Times New Roman" w:cs="Times New Roman"/>
        <w:spacing w:val="0"/>
        <w:w w:val="99"/>
        <w:sz w:val="21"/>
        <w:szCs w:val="21"/>
        <w:lang w:val="en-US" w:eastAsia="en-US" w:bidi="en-US"/>
      </w:rPr>
    </w:lvl>
    <w:lvl w:ilvl="6">
      <w:start w:val="0"/>
      <w:numFmt w:val="bullet"/>
      <w:lvlText w:val="•"/>
      <w:lvlJc w:val="left"/>
      <w:pPr>
        <w:ind w:left="5143" w:hanging="360"/>
      </w:pPr>
      <w:rPr>
        <w:rFonts w:hint="default"/>
        <w:lang w:val="en-US" w:eastAsia="en-US" w:bidi="en-US"/>
      </w:rPr>
    </w:lvl>
    <w:lvl w:ilvl="7">
      <w:start w:val="0"/>
      <w:numFmt w:val="bullet"/>
      <w:lvlText w:val="•"/>
      <w:lvlJc w:val="left"/>
      <w:pPr>
        <w:ind w:left="6364" w:hanging="360"/>
      </w:pPr>
      <w:rPr>
        <w:rFonts w:hint="default"/>
        <w:lang w:val="en-US" w:eastAsia="en-US" w:bidi="en-US"/>
      </w:rPr>
    </w:lvl>
    <w:lvl w:ilvl="8">
      <w:start w:val="0"/>
      <w:numFmt w:val="bullet"/>
      <w:lvlText w:val="•"/>
      <w:lvlJc w:val="left"/>
      <w:pPr>
        <w:ind w:left="7585" w:hanging="360"/>
      </w:pPr>
      <w:rPr>
        <w:rFonts w:hint="default"/>
        <w:lang w:val="en-US" w:eastAsia="en-US" w:bidi="en-US"/>
      </w:rPr>
    </w:lvl>
  </w:abstractNum>
  <w:abstractNum w:abstractNumId="51">
    <w:multiLevelType w:val="hybridMultilevel"/>
    <w:lvl w:ilvl="0">
      <w:start w:val="1"/>
      <w:numFmt w:val="upperLetter"/>
      <w:lvlText w:val="%1"/>
      <w:lvlJc w:val="left"/>
      <w:pPr>
        <w:ind w:left="907" w:hanging="629"/>
        <w:jc w:val="left"/>
      </w:pPr>
      <w:rPr>
        <w:rFonts w:hint="default"/>
        <w:lang w:val="en-US" w:eastAsia="en-US" w:bidi="en-US"/>
      </w:rPr>
    </w:lvl>
    <w:lvl w:ilvl="1">
      <w:start w:val="5"/>
      <w:numFmt w:val="decimal"/>
      <w:lvlText w:val="%1.%2"/>
      <w:lvlJc w:val="left"/>
      <w:pPr>
        <w:ind w:left="907" w:hanging="629"/>
        <w:jc w:val="left"/>
      </w:pPr>
      <w:rPr>
        <w:rFonts w:hint="default"/>
        <w:lang w:val="en-US" w:eastAsia="en-US" w:bidi="en-US"/>
      </w:rPr>
    </w:lvl>
    <w:lvl w:ilvl="2">
      <w:start w:val="2"/>
      <w:numFmt w:val="decimal"/>
      <w:lvlText w:val="%1.%2.%3"/>
      <w:lvlJc w:val="left"/>
      <w:pPr>
        <w:ind w:left="907" w:hanging="629"/>
        <w:jc w:val="left"/>
      </w:pPr>
      <w:rPr>
        <w:rFonts w:hint="default" w:ascii="黑体" w:hAnsi="黑体" w:eastAsia="黑体" w:cs="黑体"/>
        <w:spacing w:val="-2"/>
        <w:w w:val="99"/>
        <w:sz w:val="21"/>
        <w:szCs w:val="21"/>
        <w:lang w:val="en-US" w:eastAsia="en-US" w:bidi="en-US"/>
      </w:rPr>
    </w:lvl>
    <w:lvl w:ilvl="3">
      <w:start w:val="0"/>
      <w:numFmt w:val="bullet"/>
      <w:lvlText w:val="•"/>
      <w:lvlJc w:val="left"/>
      <w:pPr>
        <w:ind w:left="3638" w:hanging="629"/>
      </w:pPr>
      <w:rPr>
        <w:rFonts w:hint="default"/>
        <w:lang w:val="en-US" w:eastAsia="en-US" w:bidi="en-US"/>
      </w:rPr>
    </w:lvl>
    <w:lvl w:ilvl="4">
      <w:start w:val="0"/>
      <w:numFmt w:val="bullet"/>
      <w:lvlText w:val="•"/>
      <w:lvlJc w:val="left"/>
      <w:pPr>
        <w:ind w:left="4550" w:hanging="629"/>
      </w:pPr>
      <w:rPr>
        <w:rFonts w:hint="default"/>
        <w:lang w:val="en-US" w:eastAsia="en-US" w:bidi="en-US"/>
      </w:rPr>
    </w:lvl>
    <w:lvl w:ilvl="5">
      <w:start w:val="0"/>
      <w:numFmt w:val="bullet"/>
      <w:lvlText w:val="•"/>
      <w:lvlJc w:val="left"/>
      <w:pPr>
        <w:ind w:left="5463" w:hanging="629"/>
      </w:pPr>
      <w:rPr>
        <w:rFonts w:hint="default"/>
        <w:lang w:val="en-US" w:eastAsia="en-US" w:bidi="en-US"/>
      </w:rPr>
    </w:lvl>
    <w:lvl w:ilvl="6">
      <w:start w:val="0"/>
      <w:numFmt w:val="bullet"/>
      <w:lvlText w:val="•"/>
      <w:lvlJc w:val="left"/>
      <w:pPr>
        <w:ind w:left="6376" w:hanging="629"/>
      </w:pPr>
      <w:rPr>
        <w:rFonts w:hint="default"/>
        <w:lang w:val="en-US" w:eastAsia="en-US" w:bidi="en-US"/>
      </w:rPr>
    </w:lvl>
    <w:lvl w:ilvl="7">
      <w:start w:val="0"/>
      <w:numFmt w:val="bullet"/>
      <w:lvlText w:val="•"/>
      <w:lvlJc w:val="left"/>
      <w:pPr>
        <w:ind w:left="7288" w:hanging="629"/>
      </w:pPr>
      <w:rPr>
        <w:rFonts w:hint="default"/>
        <w:lang w:val="en-US" w:eastAsia="en-US" w:bidi="en-US"/>
      </w:rPr>
    </w:lvl>
    <w:lvl w:ilvl="8">
      <w:start w:val="0"/>
      <w:numFmt w:val="bullet"/>
      <w:lvlText w:val="•"/>
      <w:lvlJc w:val="left"/>
      <w:pPr>
        <w:ind w:left="8201" w:hanging="629"/>
      </w:pPr>
      <w:rPr>
        <w:rFonts w:hint="default"/>
        <w:lang w:val="en-US" w:eastAsia="en-US" w:bidi="en-US"/>
      </w:rPr>
    </w:lvl>
  </w:abstractNum>
  <w:abstractNum w:abstractNumId="50">
    <w:multiLevelType w:val="hybridMultilevel"/>
    <w:lvl w:ilvl="0">
      <w:start w:val="1"/>
      <w:numFmt w:val="upperLetter"/>
      <w:lvlText w:val="%1"/>
      <w:lvlJc w:val="left"/>
      <w:pPr>
        <w:ind w:left="907" w:hanging="629"/>
        <w:jc w:val="left"/>
      </w:pPr>
      <w:rPr>
        <w:rFonts w:hint="default"/>
        <w:lang w:val="en-US" w:eastAsia="en-US" w:bidi="en-US"/>
      </w:rPr>
    </w:lvl>
    <w:lvl w:ilvl="1">
      <w:start w:val="4"/>
      <w:numFmt w:val="decimal"/>
      <w:lvlText w:val="%1.%2"/>
      <w:lvlJc w:val="left"/>
      <w:pPr>
        <w:ind w:left="907" w:hanging="629"/>
        <w:jc w:val="left"/>
      </w:pPr>
      <w:rPr>
        <w:rFonts w:hint="default"/>
        <w:lang w:val="en-US" w:eastAsia="en-US" w:bidi="en-US"/>
      </w:rPr>
    </w:lvl>
    <w:lvl w:ilvl="2">
      <w:start w:val="2"/>
      <w:numFmt w:val="decimal"/>
      <w:lvlText w:val="%1.%2.%3"/>
      <w:lvlJc w:val="left"/>
      <w:pPr>
        <w:ind w:left="907" w:hanging="629"/>
        <w:jc w:val="left"/>
      </w:pPr>
      <w:rPr>
        <w:rFonts w:hint="default" w:ascii="黑体" w:hAnsi="黑体" w:eastAsia="黑体" w:cs="黑体"/>
        <w:spacing w:val="-2"/>
        <w:w w:val="99"/>
        <w:sz w:val="21"/>
        <w:szCs w:val="21"/>
        <w:lang w:val="en-US" w:eastAsia="en-US" w:bidi="en-US"/>
      </w:rPr>
    </w:lvl>
    <w:lvl w:ilvl="3">
      <w:start w:val="1"/>
      <w:numFmt w:val="lowerLetter"/>
      <w:lvlText w:val="%4)"/>
      <w:lvlJc w:val="left"/>
      <w:pPr>
        <w:ind w:left="1058" w:hanging="360"/>
        <w:jc w:val="left"/>
      </w:pPr>
      <w:rPr>
        <w:rFonts w:hint="default"/>
        <w:spacing w:val="0"/>
        <w:w w:val="99"/>
        <w:lang w:val="en-US" w:eastAsia="en-US" w:bidi="en-US"/>
      </w:rPr>
    </w:lvl>
    <w:lvl w:ilvl="4">
      <w:start w:val="0"/>
      <w:numFmt w:val="bullet"/>
      <w:lvlText w:val="•"/>
      <w:lvlJc w:val="left"/>
      <w:pPr>
        <w:ind w:left="3316" w:hanging="360"/>
      </w:pPr>
      <w:rPr>
        <w:rFonts w:hint="default"/>
        <w:lang w:val="en-US" w:eastAsia="en-US" w:bidi="en-US"/>
      </w:rPr>
    </w:lvl>
    <w:lvl w:ilvl="5">
      <w:start w:val="0"/>
      <w:numFmt w:val="bullet"/>
      <w:lvlText w:val="•"/>
      <w:lvlJc w:val="left"/>
      <w:pPr>
        <w:ind w:left="4435" w:hanging="360"/>
      </w:pPr>
      <w:rPr>
        <w:rFonts w:hint="default"/>
        <w:lang w:val="en-US" w:eastAsia="en-US" w:bidi="en-US"/>
      </w:rPr>
    </w:lvl>
    <w:lvl w:ilvl="6">
      <w:start w:val="0"/>
      <w:numFmt w:val="bullet"/>
      <w:lvlText w:val="•"/>
      <w:lvlJc w:val="left"/>
      <w:pPr>
        <w:ind w:left="5553" w:hanging="360"/>
      </w:pPr>
      <w:rPr>
        <w:rFonts w:hint="default"/>
        <w:lang w:val="en-US" w:eastAsia="en-US" w:bidi="en-US"/>
      </w:rPr>
    </w:lvl>
    <w:lvl w:ilvl="7">
      <w:start w:val="0"/>
      <w:numFmt w:val="bullet"/>
      <w:lvlText w:val="•"/>
      <w:lvlJc w:val="left"/>
      <w:pPr>
        <w:ind w:left="6671" w:hanging="360"/>
      </w:pPr>
      <w:rPr>
        <w:rFonts w:hint="default"/>
        <w:lang w:val="en-US" w:eastAsia="en-US" w:bidi="en-US"/>
      </w:rPr>
    </w:lvl>
    <w:lvl w:ilvl="8">
      <w:start w:val="0"/>
      <w:numFmt w:val="bullet"/>
      <w:lvlText w:val="•"/>
      <w:lvlJc w:val="left"/>
      <w:pPr>
        <w:ind w:left="7790" w:hanging="360"/>
      </w:pPr>
      <w:rPr>
        <w:rFonts w:hint="default"/>
        <w:lang w:val="en-US" w:eastAsia="en-US" w:bidi="en-US"/>
      </w:rPr>
    </w:lvl>
  </w:abstractNum>
  <w:abstractNum w:abstractNumId="49">
    <w:multiLevelType w:val="hybridMultilevel"/>
    <w:lvl w:ilvl="0">
      <w:start w:val="1"/>
      <w:numFmt w:val="lowerLetter"/>
      <w:lvlText w:val="%1)"/>
      <w:lvlJc w:val="left"/>
      <w:pPr>
        <w:ind w:left="1058" w:hanging="360"/>
        <w:jc w:val="left"/>
      </w:pPr>
      <w:rPr>
        <w:rFonts w:hint="default" w:ascii="宋体" w:hAnsi="宋体" w:eastAsia="宋体" w:cs="宋体"/>
        <w:spacing w:val="0"/>
        <w:w w:val="99"/>
        <w:sz w:val="21"/>
        <w:szCs w:val="21"/>
        <w:lang w:val="en-US" w:eastAsia="en-US" w:bidi="en-US"/>
      </w:rPr>
    </w:lvl>
    <w:lvl w:ilvl="1">
      <w:start w:val="1"/>
      <w:numFmt w:val="decimal"/>
      <w:lvlText w:val="%2)"/>
      <w:lvlJc w:val="left"/>
      <w:pPr>
        <w:ind w:left="1478" w:hanging="360"/>
        <w:jc w:val="left"/>
      </w:pPr>
      <w:rPr>
        <w:rFonts w:hint="default" w:ascii="Times New Roman" w:hAnsi="Times New Roman" w:eastAsia="Times New Roman" w:cs="Times New Roman"/>
        <w:spacing w:val="0"/>
        <w:w w:val="99"/>
        <w:sz w:val="21"/>
        <w:szCs w:val="21"/>
        <w:lang w:val="en-US" w:eastAsia="en-US" w:bidi="en-US"/>
      </w:rPr>
    </w:lvl>
    <w:lvl w:ilvl="2">
      <w:start w:val="0"/>
      <w:numFmt w:val="bullet"/>
      <w:lvlText w:val="•"/>
      <w:lvlJc w:val="left"/>
      <w:pPr>
        <w:ind w:left="2429" w:hanging="360"/>
      </w:pPr>
      <w:rPr>
        <w:rFonts w:hint="default"/>
        <w:lang w:val="en-US" w:eastAsia="en-US" w:bidi="en-US"/>
      </w:rPr>
    </w:lvl>
    <w:lvl w:ilvl="3">
      <w:start w:val="0"/>
      <w:numFmt w:val="bullet"/>
      <w:lvlText w:val="•"/>
      <w:lvlJc w:val="left"/>
      <w:pPr>
        <w:ind w:left="3379" w:hanging="360"/>
      </w:pPr>
      <w:rPr>
        <w:rFonts w:hint="default"/>
        <w:lang w:val="en-US" w:eastAsia="en-US" w:bidi="en-US"/>
      </w:rPr>
    </w:lvl>
    <w:lvl w:ilvl="4">
      <w:start w:val="0"/>
      <w:numFmt w:val="bullet"/>
      <w:lvlText w:val="•"/>
      <w:lvlJc w:val="left"/>
      <w:pPr>
        <w:ind w:left="4329" w:hanging="360"/>
      </w:pPr>
      <w:rPr>
        <w:rFonts w:hint="default"/>
        <w:lang w:val="en-US" w:eastAsia="en-US" w:bidi="en-US"/>
      </w:rPr>
    </w:lvl>
    <w:lvl w:ilvl="5">
      <w:start w:val="0"/>
      <w:numFmt w:val="bullet"/>
      <w:lvlText w:val="•"/>
      <w:lvlJc w:val="left"/>
      <w:pPr>
        <w:ind w:left="5278" w:hanging="360"/>
      </w:pPr>
      <w:rPr>
        <w:rFonts w:hint="default"/>
        <w:lang w:val="en-US" w:eastAsia="en-US" w:bidi="en-US"/>
      </w:rPr>
    </w:lvl>
    <w:lvl w:ilvl="6">
      <w:start w:val="0"/>
      <w:numFmt w:val="bullet"/>
      <w:lvlText w:val="•"/>
      <w:lvlJc w:val="left"/>
      <w:pPr>
        <w:ind w:left="6228" w:hanging="360"/>
      </w:pPr>
      <w:rPr>
        <w:rFonts w:hint="default"/>
        <w:lang w:val="en-US" w:eastAsia="en-US" w:bidi="en-US"/>
      </w:rPr>
    </w:lvl>
    <w:lvl w:ilvl="7">
      <w:start w:val="0"/>
      <w:numFmt w:val="bullet"/>
      <w:lvlText w:val="•"/>
      <w:lvlJc w:val="left"/>
      <w:pPr>
        <w:ind w:left="7178" w:hanging="360"/>
      </w:pPr>
      <w:rPr>
        <w:rFonts w:hint="default"/>
        <w:lang w:val="en-US" w:eastAsia="en-US" w:bidi="en-US"/>
      </w:rPr>
    </w:lvl>
    <w:lvl w:ilvl="8">
      <w:start w:val="0"/>
      <w:numFmt w:val="bullet"/>
      <w:lvlText w:val="•"/>
      <w:lvlJc w:val="left"/>
      <w:pPr>
        <w:ind w:left="8127" w:hanging="360"/>
      </w:pPr>
      <w:rPr>
        <w:rFonts w:hint="default"/>
        <w:lang w:val="en-US" w:eastAsia="en-US" w:bidi="en-US"/>
      </w:rPr>
    </w:lvl>
  </w:abstractNum>
  <w:abstractNum w:abstractNumId="48">
    <w:multiLevelType w:val="hybridMultilevel"/>
    <w:lvl w:ilvl="0">
      <w:start w:val="1"/>
      <w:numFmt w:val="upperLetter"/>
      <w:lvlText w:val="%1"/>
      <w:lvlJc w:val="left"/>
      <w:pPr>
        <w:ind w:left="645" w:hanging="368"/>
        <w:jc w:val="left"/>
      </w:pPr>
      <w:rPr>
        <w:rFonts w:hint="default"/>
        <w:lang w:val="en-US" w:eastAsia="en-US" w:bidi="en-US"/>
      </w:rPr>
    </w:lvl>
    <w:lvl w:ilvl="1">
      <w:start w:val="1"/>
      <w:numFmt w:val="decimal"/>
      <w:lvlText w:val="%1.%2"/>
      <w:lvlJc w:val="left"/>
      <w:pPr>
        <w:ind w:left="645" w:hanging="368"/>
        <w:jc w:val="left"/>
      </w:pPr>
      <w:rPr>
        <w:rFonts w:hint="default" w:ascii="黑体" w:hAnsi="黑体" w:eastAsia="黑体" w:cs="黑体"/>
        <w:spacing w:val="0"/>
        <w:w w:val="99"/>
        <w:sz w:val="21"/>
        <w:szCs w:val="21"/>
        <w:lang w:val="en-US" w:eastAsia="en-US" w:bidi="en-US"/>
      </w:rPr>
    </w:lvl>
    <w:lvl w:ilvl="2">
      <w:start w:val="1"/>
      <w:numFmt w:val="lowerLetter"/>
      <w:lvlText w:val="%3）"/>
      <w:lvlJc w:val="left"/>
      <w:pPr>
        <w:ind w:left="1128" w:hanging="408"/>
        <w:jc w:val="left"/>
      </w:pPr>
      <w:rPr>
        <w:rFonts w:hint="default" w:ascii="Times New Roman" w:hAnsi="Times New Roman" w:eastAsia="Times New Roman" w:cs="Times New Roman"/>
        <w:w w:val="99"/>
        <w:sz w:val="21"/>
        <w:szCs w:val="21"/>
        <w:lang w:val="en-US" w:eastAsia="en-US" w:bidi="en-US"/>
      </w:rPr>
    </w:lvl>
    <w:lvl w:ilvl="3">
      <w:start w:val="0"/>
      <w:numFmt w:val="bullet"/>
      <w:lvlText w:val="•"/>
      <w:lvlJc w:val="left"/>
      <w:pPr>
        <w:ind w:left="3099" w:hanging="408"/>
      </w:pPr>
      <w:rPr>
        <w:rFonts w:hint="default"/>
        <w:lang w:val="en-US" w:eastAsia="en-US" w:bidi="en-US"/>
      </w:rPr>
    </w:lvl>
    <w:lvl w:ilvl="4">
      <w:start w:val="0"/>
      <w:numFmt w:val="bullet"/>
      <w:lvlText w:val="•"/>
      <w:lvlJc w:val="left"/>
      <w:pPr>
        <w:ind w:left="4089" w:hanging="408"/>
      </w:pPr>
      <w:rPr>
        <w:rFonts w:hint="default"/>
        <w:lang w:val="en-US" w:eastAsia="en-US" w:bidi="en-US"/>
      </w:rPr>
    </w:lvl>
    <w:lvl w:ilvl="5">
      <w:start w:val="0"/>
      <w:numFmt w:val="bullet"/>
      <w:lvlText w:val="•"/>
      <w:lvlJc w:val="left"/>
      <w:pPr>
        <w:ind w:left="5078" w:hanging="408"/>
      </w:pPr>
      <w:rPr>
        <w:rFonts w:hint="default"/>
        <w:lang w:val="en-US" w:eastAsia="en-US" w:bidi="en-US"/>
      </w:rPr>
    </w:lvl>
    <w:lvl w:ilvl="6">
      <w:start w:val="0"/>
      <w:numFmt w:val="bullet"/>
      <w:lvlText w:val="•"/>
      <w:lvlJc w:val="left"/>
      <w:pPr>
        <w:ind w:left="6068" w:hanging="408"/>
      </w:pPr>
      <w:rPr>
        <w:rFonts w:hint="default"/>
        <w:lang w:val="en-US" w:eastAsia="en-US" w:bidi="en-US"/>
      </w:rPr>
    </w:lvl>
    <w:lvl w:ilvl="7">
      <w:start w:val="0"/>
      <w:numFmt w:val="bullet"/>
      <w:lvlText w:val="•"/>
      <w:lvlJc w:val="left"/>
      <w:pPr>
        <w:ind w:left="7058" w:hanging="408"/>
      </w:pPr>
      <w:rPr>
        <w:rFonts w:hint="default"/>
        <w:lang w:val="en-US" w:eastAsia="en-US" w:bidi="en-US"/>
      </w:rPr>
    </w:lvl>
    <w:lvl w:ilvl="8">
      <w:start w:val="0"/>
      <w:numFmt w:val="bullet"/>
      <w:lvlText w:val="•"/>
      <w:lvlJc w:val="left"/>
      <w:pPr>
        <w:ind w:left="8047" w:hanging="408"/>
      </w:pPr>
      <w:rPr>
        <w:rFonts w:hint="default"/>
        <w:lang w:val="en-US" w:eastAsia="en-US" w:bidi="en-US"/>
      </w:rPr>
    </w:lvl>
  </w:abstractNum>
  <w:abstractNum w:abstractNumId="47">
    <w:multiLevelType w:val="hybridMultilevel"/>
    <w:lvl w:ilvl="0">
      <w:start w:val="1"/>
      <w:numFmt w:val="lowerLetter"/>
      <w:lvlText w:val="%1）"/>
      <w:lvlJc w:val="left"/>
      <w:pPr>
        <w:ind w:left="1106"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1992" w:hanging="408"/>
      </w:pPr>
      <w:rPr>
        <w:rFonts w:hint="default"/>
        <w:lang w:val="en-US" w:eastAsia="en-US" w:bidi="en-US"/>
      </w:rPr>
    </w:lvl>
    <w:lvl w:ilvl="2">
      <w:start w:val="0"/>
      <w:numFmt w:val="bullet"/>
      <w:lvlText w:val="•"/>
      <w:lvlJc w:val="left"/>
      <w:pPr>
        <w:ind w:left="2885" w:hanging="408"/>
      </w:pPr>
      <w:rPr>
        <w:rFonts w:hint="default"/>
        <w:lang w:val="en-US" w:eastAsia="en-US" w:bidi="en-US"/>
      </w:rPr>
    </w:lvl>
    <w:lvl w:ilvl="3">
      <w:start w:val="0"/>
      <w:numFmt w:val="bullet"/>
      <w:lvlText w:val="•"/>
      <w:lvlJc w:val="left"/>
      <w:pPr>
        <w:ind w:left="3778" w:hanging="408"/>
      </w:pPr>
      <w:rPr>
        <w:rFonts w:hint="default"/>
        <w:lang w:val="en-US" w:eastAsia="en-US" w:bidi="en-US"/>
      </w:rPr>
    </w:lvl>
    <w:lvl w:ilvl="4">
      <w:start w:val="0"/>
      <w:numFmt w:val="bullet"/>
      <w:lvlText w:val="•"/>
      <w:lvlJc w:val="left"/>
      <w:pPr>
        <w:ind w:left="4670" w:hanging="408"/>
      </w:pPr>
      <w:rPr>
        <w:rFonts w:hint="default"/>
        <w:lang w:val="en-US" w:eastAsia="en-US" w:bidi="en-US"/>
      </w:rPr>
    </w:lvl>
    <w:lvl w:ilvl="5">
      <w:start w:val="0"/>
      <w:numFmt w:val="bullet"/>
      <w:lvlText w:val="•"/>
      <w:lvlJc w:val="left"/>
      <w:pPr>
        <w:ind w:left="5563" w:hanging="408"/>
      </w:pPr>
      <w:rPr>
        <w:rFonts w:hint="default"/>
        <w:lang w:val="en-US" w:eastAsia="en-US" w:bidi="en-US"/>
      </w:rPr>
    </w:lvl>
    <w:lvl w:ilvl="6">
      <w:start w:val="0"/>
      <w:numFmt w:val="bullet"/>
      <w:lvlText w:val="•"/>
      <w:lvlJc w:val="left"/>
      <w:pPr>
        <w:ind w:left="6456" w:hanging="408"/>
      </w:pPr>
      <w:rPr>
        <w:rFonts w:hint="default"/>
        <w:lang w:val="en-US" w:eastAsia="en-US" w:bidi="en-US"/>
      </w:rPr>
    </w:lvl>
    <w:lvl w:ilvl="7">
      <w:start w:val="0"/>
      <w:numFmt w:val="bullet"/>
      <w:lvlText w:val="•"/>
      <w:lvlJc w:val="left"/>
      <w:pPr>
        <w:ind w:left="7348" w:hanging="408"/>
      </w:pPr>
      <w:rPr>
        <w:rFonts w:hint="default"/>
        <w:lang w:val="en-US" w:eastAsia="en-US" w:bidi="en-US"/>
      </w:rPr>
    </w:lvl>
    <w:lvl w:ilvl="8">
      <w:start w:val="0"/>
      <w:numFmt w:val="bullet"/>
      <w:lvlText w:val="•"/>
      <w:lvlJc w:val="left"/>
      <w:pPr>
        <w:ind w:left="8241" w:hanging="408"/>
      </w:pPr>
      <w:rPr>
        <w:rFonts w:hint="default"/>
        <w:lang w:val="en-US" w:eastAsia="en-US" w:bidi="en-US"/>
      </w:rPr>
    </w:lvl>
  </w:abstractNum>
  <w:abstractNum w:abstractNumId="46">
    <w:multiLevelType w:val="hybridMultilevel"/>
    <w:lvl w:ilvl="0">
      <w:start w:val="1"/>
      <w:numFmt w:val="decimal"/>
      <w:lvlText w:val="%1）"/>
      <w:lvlJc w:val="left"/>
      <w:pPr>
        <w:ind w:left="1548" w:hanging="420"/>
        <w:jc w:val="left"/>
      </w:pPr>
      <w:rPr>
        <w:rFonts w:hint="default" w:ascii="Times New Roman" w:hAnsi="Times New Roman" w:eastAsia="Times New Roman" w:cs="Times New Roman"/>
        <w:spacing w:val="0"/>
        <w:w w:val="99"/>
        <w:sz w:val="21"/>
        <w:szCs w:val="21"/>
        <w:lang w:val="en-US" w:eastAsia="en-US" w:bidi="en-US"/>
      </w:rPr>
    </w:lvl>
    <w:lvl w:ilvl="1">
      <w:start w:val="0"/>
      <w:numFmt w:val="bullet"/>
      <w:lvlText w:val="•"/>
      <w:lvlJc w:val="left"/>
      <w:pPr>
        <w:ind w:left="2388" w:hanging="420"/>
      </w:pPr>
      <w:rPr>
        <w:rFonts w:hint="default"/>
        <w:lang w:val="en-US" w:eastAsia="en-US" w:bidi="en-US"/>
      </w:rPr>
    </w:lvl>
    <w:lvl w:ilvl="2">
      <w:start w:val="0"/>
      <w:numFmt w:val="bullet"/>
      <w:lvlText w:val="•"/>
      <w:lvlJc w:val="left"/>
      <w:pPr>
        <w:ind w:left="3237" w:hanging="420"/>
      </w:pPr>
      <w:rPr>
        <w:rFonts w:hint="default"/>
        <w:lang w:val="en-US" w:eastAsia="en-US" w:bidi="en-US"/>
      </w:rPr>
    </w:lvl>
    <w:lvl w:ilvl="3">
      <w:start w:val="0"/>
      <w:numFmt w:val="bullet"/>
      <w:lvlText w:val="•"/>
      <w:lvlJc w:val="left"/>
      <w:pPr>
        <w:ind w:left="4086" w:hanging="420"/>
      </w:pPr>
      <w:rPr>
        <w:rFonts w:hint="default"/>
        <w:lang w:val="en-US" w:eastAsia="en-US" w:bidi="en-US"/>
      </w:rPr>
    </w:lvl>
    <w:lvl w:ilvl="4">
      <w:start w:val="0"/>
      <w:numFmt w:val="bullet"/>
      <w:lvlText w:val="•"/>
      <w:lvlJc w:val="left"/>
      <w:pPr>
        <w:ind w:left="4934" w:hanging="420"/>
      </w:pPr>
      <w:rPr>
        <w:rFonts w:hint="default"/>
        <w:lang w:val="en-US" w:eastAsia="en-US" w:bidi="en-US"/>
      </w:rPr>
    </w:lvl>
    <w:lvl w:ilvl="5">
      <w:start w:val="0"/>
      <w:numFmt w:val="bullet"/>
      <w:lvlText w:val="•"/>
      <w:lvlJc w:val="left"/>
      <w:pPr>
        <w:ind w:left="5783" w:hanging="420"/>
      </w:pPr>
      <w:rPr>
        <w:rFonts w:hint="default"/>
        <w:lang w:val="en-US" w:eastAsia="en-US" w:bidi="en-US"/>
      </w:rPr>
    </w:lvl>
    <w:lvl w:ilvl="6">
      <w:start w:val="0"/>
      <w:numFmt w:val="bullet"/>
      <w:lvlText w:val="•"/>
      <w:lvlJc w:val="left"/>
      <w:pPr>
        <w:ind w:left="6632" w:hanging="420"/>
      </w:pPr>
      <w:rPr>
        <w:rFonts w:hint="default"/>
        <w:lang w:val="en-US" w:eastAsia="en-US" w:bidi="en-US"/>
      </w:rPr>
    </w:lvl>
    <w:lvl w:ilvl="7">
      <w:start w:val="0"/>
      <w:numFmt w:val="bullet"/>
      <w:lvlText w:val="•"/>
      <w:lvlJc w:val="left"/>
      <w:pPr>
        <w:ind w:left="7480" w:hanging="420"/>
      </w:pPr>
      <w:rPr>
        <w:rFonts w:hint="default"/>
        <w:lang w:val="en-US" w:eastAsia="en-US" w:bidi="en-US"/>
      </w:rPr>
    </w:lvl>
    <w:lvl w:ilvl="8">
      <w:start w:val="0"/>
      <w:numFmt w:val="bullet"/>
      <w:lvlText w:val="•"/>
      <w:lvlJc w:val="left"/>
      <w:pPr>
        <w:ind w:left="8329" w:hanging="420"/>
      </w:pPr>
      <w:rPr>
        <w:rFonts w:hint="default"/>
        <w:lang w:val="en-US" w:eastAsia="en-US" w:bidi="en-US"/>
      </w:rPr>
    </w:lvl>
  </w:abstractNum>
  <w:abstractNum w:abstractNumId="45">
    <w:multiLevelType w:val="hybridMultilevel"/>
    <w:lvl w:ilvl="0">
      <w:start w:val="1"/>
      <w:numFmt w:val="lowerLetter"/>
      <w:lvlText w:val="%1）"/>
      <w:lvlJc w:val="left"/>
      <w:pPr>
        <w:ind w:left="1106" w:hanging="408"/>
        <w:jc w:val="left"/>
      </w:pPr>
      <w:rPr>
        <w:rFonts w:hint="default" w:ascii="Times New Roman" w:hAnsi="Times New Roman" w:eastAsia="Times New Roman" w:cs="Times New Roman"/>
        <w:w w:val="99"/>
        <w:sz w:val="21"/>
        <w:szCs w:val="21"/>
        <w:lang w:val="en-US" w:eastAsia="en-US" w:bidi="en-US"/>
      </w:rPr>
    </w:lvl>
    <w:lvl w:ilvl="1">
      <w:start w:val="1"/>
      <w:numFmt w:val="decimal"/>
      <w:lvlText w:val="%2）"/>
      <w:lvlJc w:val="left"/>
      <w:pPr>
        <w:ind w:left="1443" w:hanging="316"/>
        <w:jc w:val="left"/>
      </w:pPr>
      <w:rPr>
        <w:rFonts w:hint="default" w:ascii="Times New Roman" w:hAnsi="Times New Roman" w:eastAsia="Times New Roman" w:cs="Times New Roman"/>
        <w:spacing w:val="-1"/>
        <w:w w:val="99"/>
        <w:sz w:val="19"/>
        <w:szCs w:val="19"/>
        <w:lang w:val="en-US" w:eastAsia="en-US" w:bidi="en-US"/>
      </w:rPr>
    </w:lvl>
    <w:lvl w:ilvl="2">
      <w:start w:val="0"/>
      <w:numFmt w:val="bullet"/>
      <w:lvlText w:val="•"/>
      <w:lvlJc w:val="left"/>
      <w:pPr>
        <w:ind w:left="2394" w:hanging="316"/>
      </w:pPr>
      <w:rPr>
        <w:rFonts w:hint="default"/>
        <w:lang w:val="en-US" w:eastAsia="en-US" w:bidi="en-US"/>
      </w:rPr>
    </w:lvl>
    <w:lvl w:ilvl="3">
      <w:start w:val="0"/>
      <w:numFmt w:val="bullet"/>
      <w:lvlText w:val="•"/>
      <w:lvlJc w:val="left"/>
      <w:pPr>
        <w:ind w:left="3348" w:hanging="316"/>
      </w:pPr>
      <w:rPr>
        <w:rFonts w:hint="default"/>
        <w:lang w:val="en-US" w:eastAsia="en-US" w:bidi="en-US"/>
      </w:rPr>
    </w:lvl>
    <w:lvl w:ilvl="4">
      <w:start w:val="0"/>
      <w:numFmt w:val="bullet"/>
      <w:lvlText w:val="•"/>
      <w:lvlJc w:val="left"/>
      <w:pPr>
        <w:ind w:left="4302" w:hanging="316"/>
      </w:pPr>
      <w:rPr>
        <w:rFonts w:hint="default"/>
        <w:lang w:val="en-US" w:eastAsia="en-US" w:bidi="en-US"/>
      </w:rPr>
    </w:lvl>
    <w:lvl w:ilvl="5">
      <w:start w:val="0"/>
      <w:numFmt w:val="bullet"/>
      <w:lvlText w:val="•"/>
      <w:lvlJc w:val="left"/>
      <w:pPr>
        <w:ind w:left="5256" w:hanging="316"/>
      </w:pPr>
      <w:rPr>
        <w:rFonts w:hint="default"/>
        <w:lang w:val="en-US" w:eastAsia="en-US" w:bidi="en-US"/>
      </w:rPr>
    </w:lvl>
    <w:lvl w:ilvl="6">
      <w:start w:val="0"/>
      <w:numFmt w:val="bullet"/>
      <w:lvlText w:val="•"/>
      <w:lvlJc w:val="left"/>
      <w:pPr>
        <w:ind w:left="6210" w:hanging="316"/>
      </w:pPr>
      <w:rPr>
        <w:rFonts w:hint="default"/>
        <w:lang w:val="en-US" w:eastAsia="en-US" w:bidi="en-US"/>
      </w:rPr>
    </w:lvl>
    <w:lvl w:ilvl="7">
      <w:start w:val="0"/>
      <w:numFmt w:val="bullet"/>
      <w:lvlText w:val="•"/>
      <w:lvlJc w:val="left"/>
      <w:pPr>
        <w:ind w:left="7164" w:hanging="316"/>
      </w:pPr>
      <w:rPr>
        <w:rFonts w:hint="default"/>
        <w:lang w:val="en-US" w:eastAsia="en-US" w:bidi="en-US"/>
      </w:rPr>
    </w:lvl>
    <w:lvl w:ilvl="8">
      <w:start w:val="0"/>
      <w:numFmt w:val="bullet"/>
      <w:lvlText w:val="•"/>
      <w:lvlJc w:val="left"/>
      <w:pPr>
        <w:ind w:left="8118" w:hanging="316"/>
      </w:pPr>
      <w:rPr>
        <w:rFonts w:hint="default"/>
        <w:lang w:val="en-US" w:eastAsia="en-US" w:bidi="en-US"/>
      </w:rPr>
    </w:lvl>
  </w:abstractNum>
  <w:abstractNum w:abstractNumId="44">
    <w:multiLevelType w:val="hybridMultilevel"/>
    <w:lvl w:ilvl="0">
      <w:start w:val="2"/>
      <w:numFmt w:val="decimal"/>
      <w:lvlText w:val="%1）"/>
      <w:lvlJc w:val="left"/>
      <w:pPr>
        <w:ind w:left="1548" w:hanging="420"/>
        <w:jc w:val="left"/>
      </w:pPr>
      <w:rPr>
        <w:rFonts w:hint="default" w:ascii="Times New Roman" w:hAnsi="Times New Roman" w:eastAsia="Times New Roman" w:cs="Times New Roman"/>
        <w:spacing w:val="0"/>
        <w:w w:val="99"/>
        <w:sz w:val="21"/>
        <w:szCs w:val="21"/>
        <w:lang w:val="en-US" w:eastAsia="en-US" w:bidi="en-US"/>
      </w:rPr>
    </w:lvl>
    <w:lvl w:ilvl="1">
      <w:start w:val="0"/>
      <w:numFmt w:val="bullet"/>
      <w:lvlText w:val="•"/>
      <w:lvlJc w:val="left"/>
      <w:pPr>
        <w:ind w:left="2388" w:hanging="420"/>
      </w:pPr>
      <w:rPr>
        <w:rFonts w:hint="default"/>
        <w:lang w:val="en-US" w:eastAsia="en-US" w:bidi="en-US"/>
      </w:rPr>
    </w:lvl>
    <w:lvl w:ilvl="2">
      <w:start w:val="0"/>
      <w:numFmt w:val="bullet"/>
      <w:lvlText w:val="•"/>
      <w:lvlJc w:val="left"/>
      <w:pPr>
        <w:ind w:left="3237" w:hanging="420"/>
      </w:pPr>
      <w:rPr>
        <w:rFonts w:hint="default"/>
        <w:lang w:val="en-US" w:eastAsia="en-US" w:bidi="en-US"/>
      </w:rPr>
    </w:lvl>
    <w:lvl w:ilvl="3">
      <w:start w:val="0"/>
      <w:numFmt w:val="bullet"/>
      <w:lvlText w:val="•"/>
      <w:lvlJc w:val="left"/>
      <w:pPr>
        <w:ind w:left="4086" w:hanging="420"/>
      </w:pPr>
      <w:rPr>
        <w:rFonts w:hint="default"/>
        <w:lang w:val="en-US" w:eastAsia="en-US" w:bidi="en-US"/>
      </w:rPr>
    </w:lvl>
    <w:lvl w:ilvl="4">
      <w:start w:val="0"/>
      <w:numFmt w:val="bullet"/>
      <w:lvlText w:val="•"/>
      <w:lvlJc w:val="left"/>
      <w:pPr>
        <w:ind w:left="4934" w:hanging="420"/>
      </w:pPr>
      <w:rPr>
        <w:rFonts w:hint="default"/>
        <w:lang w:val="en-US" w:eastAsia="en-US" w:bidi="en-US"/>
      </w:rPr>
    </w:lvl>
    <w:lvl w:ilvl="5">
      <w:start w:val="0"/>
      <w:numFmt w:val="bullet"/>
      <w:lvlText w:val="•"/>
      <w:lvlJc w:val="left"/>
      <w:pPr>
        <w:ind w:left="5783" w:hanging="420"/>
      </w:pPr>
      <w:rPr>
        <w:rFonts w:hint="default"/>
        <w:lang w:val="en-US" w:eastAsia="en-US" w:bidi="en-US"/>
      </w:rPr>
    </w:lvl>
    <w:lvl w:ilvl="6">
      <w:start w:val="0"/>
      <w:numFmt w:val="bullet"/>
      <w:lvlText w:val="•"/>
      <w:lvlJc w:val="left"/>
      <w:pPr>
        <w:ind w:left="6632" w:hanging="420"/>
      </w:pPr>
      <w:rPr>
        <w:rFonts w:hint="default"/>
        <w:lang w:val="en-US" w:eastAsia="en-US" w:bidi="en-US"/>
      </w:rPr>
    </w:lvl>
    <w:lvl w:ilvl="7">
      <w:start w:val="0"/>
      <w:numFmt w:val="bullet"/>
      <w:lvlText w:val="•"/>
      <w:lvlJc w:val="left"/>
      <w:pPr>
        <w:ind w:left="7480" w:hanging="420"/>
      </w:pPr>
      <w:rPr>
        <w:rFonts w:hint="default"/>
        <w:lang w:val="en-US" w:eastAsia="en-US" w:bidi="en-US"/>
      </w:rPr>
    </w:lvl>
    <w:lvl w:ilvl="8">
      <w:start w:val="0"/>
      <w:numFmt w:val="bullet"/>
      <w:lvlText w:val="•"/>
      <w:lvlJc w:val="left"/>
      <w:pPr>
        <w:ind w:left="8329" w:hanging="420"/>
      </w:pPr>
      <w:rPr>
        <w:rFonts w:hint="default"/>
        <w:lang w:val="en-US" w:eastAsia="en-US" w:bidi="en-US"/>
      </w:rPr>
    </w:lvl>
  </w:abstractNum>
  <w:abstractNum w:abstractNumId="43">
    <w:multiLevelType w:val="hybridMultilevel"/>
    <w:lvl w:ilvl="0">
      <w:start w:val="1"/>
      <w:numFmt w:val="lowerLetter"/>
      <w:lvlText w:val="%1）"/>
      <w:lvlJc w:val="left"/>
      <w:pPr>
        <w:ind w:left="1106" w:hanging="408"/>
        <w:jc w:val="left"/>
      </w:pPr>
      <w:rPr>
        <w:rFonts w:hint="default" w:ascii="Times New Roman" w:hAnsi="Times New Roman" w:eastAsia="Times New Roman" w:cs="Times New Roman"/>
        <w:w w:val="99"/>
        <w:sz w:val="21"/>
        <w:szCs w:val="21"/>
        <w:lang w:val="en-US" w:eastAsia="en-US" w:bidi="en-US"/>
      </w:rPr>
    </w:lvl>
    <w:lvl w:ilvl="1">
      <w:start w:val="1"/>
      <w:numFmt w:val="decimal"/>
      <w:lvlText w:val="%2）"/>
      <w:lvlJc w:val="left"/>
      <w:pPr>
        <w:ind w:left="1548" w:hanging="420"/>
        <w:jc w:val="left"/>
      </w:pPr>
      <w:rPr>
        <w:rFonts w:hint="default" w:ascii="Times New Roman" w:hAnsi="Times New Roman" w:eastAsia="Times New Roman" w:cs="Times New Roman"/>
        <w:spacing w:val="0"/>
        <w:w w:val="99"/>
        <w:sz w:val="21"/>
        <w:szCs w:val="21"/>
        <w:lang w:val="en-US" w:eastAsia="en-US" w:bidi="en-US"/>
      </w:rPr>
    </w:lvl>
    <w:lvl w:ilvl="2">
      <w:start w:val="0"/>
      <w:numFmt w:val="bullet"/>
      <w:lvlText w:val="•"/>
      <w:lvlJc w:val="left"/>
      <w:pPr>
        <w:ind w:left="2483" w:hanging="420"/>
      </w:pPr>
      <w:rPr>
        <w:rFonts w:hint="default"/>
        <w:lang w:val="en-US" w:eastAsia="en-US" w:bidi="en-US"/>
      </w:rPr>
    </w:lvl>
    <w:lvl w:ilvl="3">
      <w:start w:val="0"/>
      <w:numFmt w:val="bullet"/>
      <w:lvlText w:val="•"/>
      <w:lvlJc w:val="left"/>
      <w:pPr>
        <w:ind w:left="3426" w:hanging="420"/>
      </w:pPr>
      <w:rPr>
        <w:rFonts w:hint="default"/>
        <w:lang w:val="en-US" w:eastAsia="en-US" w:bidi="en-US"/>
      </w:rPr>
    </w:lvl>
    <w:lvl w:ilvl="4">
      <w:start w:val="0"/>
      <w:numFmt w:val="bullet"/>
      <w:lvlText w:val="•"/>
      <w:lvlJc w:val="left"/>
      <w:pPr>
        <w:ind w:left="4369" w:hanging="420"/>
      </w:pPr>
      <w:rPr>
        <w:rFonts w:hint="default"/>
        <w:lang w:val="en-US" w:eastAsia="en-US" w:bidi="en-US"/>
      </w:rPr>
    </w:lvl>
    <w:lvl w:ilvl="5">
      <w:start w:val="0"/>
      <w:numFmt w:val="bullet"/>
      <w:lvlText w:val="•"/>
      <w:lvlJc w:val="left"/>
      <w:pPr>
        <w:ind w:left="5312" w:hanging="420"/>
      </w:pPr>
      <w:rPr>
        <w:rFonts w:hint="default"/>
        <w:lang w:val="en-US" w:eastAsia="en-US" w:bidi="en-US"/>
      </w:rPr>
    </w:lvl>
    <w:lvl w:ilvl="6">
      <w:start w:val="0"/>
      <w:numFmt w:val="bullet"/>
      <w:lvlText w:val="•"/>
      <w:lvlJc w:val="left"/>
      <w:pPr>
        <w:ind w:left="6255" w:hanging="420"/>
      </w:pPr>
      <w:rPr>
        <w:rFonts w:hint="default"/>
        <w:lang w:val="en-US" w:eastAsia="en-US" w:bidi="en-US"/>
      </w:rPr>
    </w:lvl>
    <w:lvl w:ilvl="7">
      <w:start w:val="0"/>
      <w:numFmt w:val="bullet"/>
      <w:lvlText w:val="•"/>
      <w:lvlJc w:val="left"/>
      <w:pPr>
        <w:ind w:left="7198" w:hanging="420"/>
      </w:pPr>
      <w:rPr>
        <w:rFonts w:hint="default"/>
        <w:lang w:val="en-US" w:eastAsia="en-US" w:bidi="en-US"/>
      </w:rPr>
    </w:lvl>
    <w:lvl w:ilvl="8">
      <w:start w:val="0"/>
      <w:numFmt w:val="bullet"/>
      <w:lvlText w:val="•"/>
      <w:lvlJc w:val="left"/>
      <w:pPr>
        <w:ind w:left="8141" w:hanging="420"/>
      </w:pPr>
      <w:rPr>
        <w:rFonts w:hint="default"/>
        <w:lang w:val="en-US" w:eastAsia="en-US" w:bidi="en-US"/>
      </w:rPr>
    </w:lvl>
  </w:abstractNum>
  <w:abstractNum w:abstractNumId="42">
    <w:multiLevelType w:val="hybridMultilevel"/>
    <w:lvl w:ilvl="0">
      <w:start w:val="1"/>
      <w:numFmt w:val="lowerLetter"/>
      <w:lvlText w:val="%1）"/>
      <w:lvlJc w:val="left"/>
      <w:pPr>
        <w:ind w:left="1128"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2010" w:hanging="408"/>
      </w:pPr>
      <w:rPr>
        <w:rFonts w:hint="default"/>
        <w:lang w:val="en-US" w:eastAsia="en-US" w:bidi="en-US"/>
      </w:rPr>
    </w:lvl>
    <w:lvl w:ilvl="2">
      <w:start w:val="0"/>
      <w:numFmt w:val="bullet"/>
      <w:lvlText w:val="•"/>
      <w:lvlJc w:val="left"/>
      <w:pPr>
        <w:ind w:left="2901" w:hanging="408"/>
      </w:pPr>
      <w:rPr>
        <w:rFonts w:hint="default"/>
        <w:lang w:val="en-US" w:eastAsia="en-US" w:bidi="en-US"/>
      </w:rPr>
    </w:lvl>
    <w:lvl w:ilvl="3">
      <w:start w:val="0"/>
      <w:numFmt w:val="bullet"/>
      <w:lvlText w:val="•"/>
      <w:lvlJc w:val="left"/>
      <w:pPr>
        <w:ind w:left="3792" w:hanging="408"/>
      </w:pPr>
      <w:rPr>
        <w:rFonts w:hint="default"/>
        <w:lang w:val="en-US" w:eastAsia="en-US" w:bidi="en-US"/>
      </w:rPr>
    </w:lvl>
    <w:lvl w:ilvl="4">
      <w:start w:val="0"/>
      <w:numFmt w:val="bullet"/>
      <w:lvlText w:val="•"/>
      <w:lvlJc w:val="left"/>
      <w:pPr>
        <w:ind w:left="4682" w:hanging="408"/>
      </w:pPr>
      <w:rPr>
        <w:rFonts w:hint="default"/>
        <w:lang w:val="en-US" w:eastAsia="en-US" w:bidi="en-US"/>
      </w:rPr>
    </w:lvl>
    <w:lvl w:ilvl="5">
      <w:start w:val="0"/>
      <w:numFmt w:val="bullet"/>
      <w:lvlText w:val="•"/>
      <w:lvlJc w:val="left"/>
      <w:pPr>
        <w:ind w:left="5573" w:hanging="408"/>
      </w:pPr>
      <w:rPr>
        <w:rFonts w:hint="default"/>
        <w:lang w:val="en-US" w:eastAsia="en-US" w:bidi="en-US"/>
      </w:rPr>
    </w:lvl>
    <w:lvl w:ilvl="6">
      <w:start w:val="0"/>
      <w:numFmt w:val="bullet"/>
      <w:lvlText w:val="•"/>
      <w:lvlJc w:val="left"/>
      <w:pPr>
        <w:ind w:left="6464" w:hanging="408"/>
      </w:pPr>
      <w:rPr>
        <w:rFonts w:hint="default"/>
        <w:lang w:val="en-US" w:eastAsia="en-US" w:bidi="en-US"/>
      </w:rPr>
    </w:lvl>
    <w:lvl w:ilvl="7">
      <w:start w:val="0"/>
      <w:numFmt w:val="bullet"/>
      <w:lvlText w:val="•"/>
      <w:lvlJc w:val="left"/>
      <w:pPr>
        <w:ind w:left="7354" w:hanging="408"/>
      </w:pPr>
      <w:rPr>
        <w:rFonts w:hint="default"/>
        <w:lang w:val="en-US" w:eastAsia="en-US" w:bidi="en-US"/>
      </w:rPr>
    </w:lvl>
    <w:lvl w:ilvl="8">
      <w:start w:val="0"/>
      <w:numFmt w:val="bullet"/>
      <w:lvlText w:val="•"/>
      <w:lvlJc w:val="left"/>
      <w:pPr>
        <w:ind w:left="8245" w:hanging="408"/>
      </w:pPr>
      <w:rPr>
        <w:rFonts w:hint="default"/>
        <w:lang w:val="en-US" w:eastAsia="en-US" w:bidi="en-US"/>
      </w:rPr>
    </w:lvl>
  </w:abstractNum>
  <w:abstractNum w:abstractNumId="41">
    <w:multiLevelType w:val="hybridMultilevel"/>
    <w:lvl w:ilvl="0">
      <w:start w:val="9"/>
      <w:numFmt w:val="decimal"/>
      <w:lvlText w:val="%1"/>
      <w:lvlJc w:val="left"/>
      <w:pPr>
        <w:ind w:left="1010" w:hanging="735"/>
        <w:jc w:val="left"/>
      </w:pPr>
      <w:rPr>
        <w:rFonts w:hint="default"/>
        <w:lang w:val="en-US" w:eastAsia="en-US" w:bidi="en-US"/>
      </w:rPr>
    </w:lvl>
    <w:lvl w:ilvl="1">
      <w:start w:val="2"/>
      <w:numFmt w:val="decimal"/>
      <w:lvlText w:val="%1.%2"/>
      <w:lvlJc w:val="left"/>
      <w:pPr>
        <w:ind w:left="1010" w:hanging="735"/>
        <w:jc w:val="left"/>
      </w:pPr>
      <w:rPr>
        <w:rFonts w:hint="default"/>
        <w:lang w:val="en-US" w:eastAsia="en-US" w:bidi="en-US"/>
      </w:rPr>
    </w:lvl>
    <w:lvl w:ilvl="2">
      <w:start w:val="1"/>
      <w:numFmt w:val="decimal"/>
      <w:lvlText w:val="%1.%2.%3"/>
      <w:lvlJc w:val="left"/>
      <w:pPr>
        <w:ind w:left="1010" w:hanging="735"/>
        <w:jc w:val="left"/>
      </w:pPr>
      <w:rPr>
        <w:rFonts w:hint="default" w:ascii="黑体" w:hAnsi="黑体" w:eastAsia="黑体" w:cs="黑体"/>
        <w:spacing w:val="-2"/>
        <w:w w:val="99"/>
        <w:sz w:val="21"/>
        <w:szCs w:val="21"/>
        <w:lang w:val="en-US" w:eastAsia="en-US" w:bidi="en-US"/>
      </w:rPr>
    </w:lvl>
    <w:lvl w:ilvl="3">
      <w:start w:val="1"/>
      <w:numFmt w:val="lowerLetter"/>
      <w:lvlText w:val="%4）"/>
      <w:lvlJc w:val="left"/>
      <w:pPr>
        <w:ind w:left="1106" w:hanging="408"/>
        <w:jc w:val="left"/>
      </w:pPr>
      <w:rPr>
        <w:rFonts w:hint="default" w:ascii="Times New Roman" w:hAnsi="Times New Roman" w:eastAsia="Times New Roman" w:cs="Times New Roman"/>
        <w:w w:val="99"/>
        <w:sz w:val="21"/>
        <w:szCs w:val="21"/>
        <w:lang w:val="en-US" w:eastAsia="en-US" w:bidi="en-US"/>
      </w:rPr>
    </w:lvl>
    <w:lvl w:ilvl="4">
      <w:start w:val="1"/>
      <w:numFmt w:val="decimal"/>
      <w:lvlText w:val="%5）"/>
      <w:lvlJc w:val="left"/>
      <w:pPr>
        <w:ind w:left="1548" w:hanging="420"/>
        <w:jc w:val="left"/>
      </w:pPr>
      <w:rPr>
        <w:rFonts w:hint="default" w:ascii="Times New Roman" w:hAnsi="Times New Roman" w:eastAsia="Times New Roman" w:cs="Times New Roman"/>
        <w:spacing w:val="0"/>
        <w:w w:val="99"/>
        <w:sz w:val="21"/>
        <w:szCs w:val="21"/>
        <w:lang w:val="en-US" w:eastAsia="en-US" w:bidi="en-US"/>
      </w:rPr>
    </w:lvl>
    <w:lvl w:ilvl="5">
      <w:start w:val="0"/>
      <w:numFmt w:val="bullet"/>
      <w:lvlText w:val="•"/>
      <w:lvlJc w:val="left"/>
      <w:pPr>
        <w:ind w:left="4722" w:hanging="420"/>
      </w:pPr>
      <w:rPr>
        <w:rFonts w:hint="default"/>
        <w:lang w:val="en-US" w:eastAsia="en-US" w:bidi="en-US"/>
      </w:rPr>
    </w:lvl>
    <w:lvl w:ilvl="6">
      <w:start w:val="0"/>
      <w:numFmt w:val="bullet"/>
      <w:lvlText w:val="•"/>
      <w:lvlJc w:val="left"/>
      <w:pPr>
        <w:ind w:left="5783" w:hanging="420"/>
      </w:pPr>
      <w:rPr>
        <w:rFonts w:hint="default"/>
        <w:lang w:val="en-US" w:eastAsia="en-US" w:bidi="en-US"/>
      </w:rPr>
    </w:lvl>
    <w:lvl w:ilvl="7">
      <w:start w:val="0"/>
      <w:numFmt w:val="bullet"/>
      <w:lvlText w:val="•"/>
      <w:lvlJc w:val="left"/>
      <w:pPr>
        <w:ind w:left="6844" w:hanging="420"/>
      </w:pPr>
      <w:rPr>
        <w:rFonts w:hint="default"/>
        <w:lang w:val="en-US" w:eastAsia="en-US" w:bidi="en-US"/>
      </w:rPr>
    </w:lvl>
    <w:lvl w:ilvl="8">
      <w:start w:val="0"/>
      <w:numFmt w:val="bullet"/>
      <w:lvlText w:val="•"/>
      <w:lvlJc w:val="left"/>
      <w:pPr>
        <w:ind w:left="7905" w:hanging="420"/>
      </w:pPr>
      <w:rPr>
        <w:rFonts w:hint="default"/>
        <w:lang w:val="en-US" w:eastAsia="en-US" w:bidi="en-US"/>
      </w:rPr>
    </w:lvl>
  </w:abstractNum>
  <w:abstractNum w:abstractNumId="40">
    <w:multiLevelType w:val="hybridMultilevel"/>
    <w:lvl w:ilvl="0">
      <w:start w:val="1"/>
      <w:numFmt w:val="lowerLetter"/>
      <w:lvlText w:val="%1）"/>
      <w:lvlJc w:val="left"/>
      <w:pPr>
        <w:ind w:left="1106"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1992" w:hanging="408"/>
      </w:pPr>
      <w:rPr>
        <w:rFonts w:hint="default"/>
        <w:lang w:val="en-US" w:eastAsia="en-US" w:bidi="en-US"/>
      </w:rPr>
    </w:lvl>
    <w:lvl w:ilvl="2">
      <w:start w:val="0"/>
      <w:numFmt w:val="bullet"/>
      <w:lvlText w:val="•"/>
      <w:lvlJc w:val="left"/>
      <w:pPr>
        <w:ind w:left="2885" w:hanging="408"/>
      </w:pPr>
      <w:rPr>
        <w:rFonts w:hint="default"/>
        <w:lang w:val="en-US" w:eastAsia="en-US" w:bidi="en-US"/>
      </w:rPr>
    </w:lvl>
    <w:lvl w:ilvl="3">
      <w:start w:val="0"/>
      <w:numFmt w:val="bullet"/>
      <w:lvlText w:val="•"/>
      <w:lvlJc w:val="left"/>
      <w:pPr>
        <w:ind w:left="3778" w:hanging="408"/>
      </w:pPr>
      <w:rPr>
        <w:rFonts w:hint="default"/>
        <w:lang w:val="en-US" w:eastAsia="en-US" w:bidi="en-US"/>
      </w:rPr>
    </w:lvl>
    <w:lvl w:ilvl="4">
      <w:start w:val="0"/>
      <w:numFmt w:val="bullet"/>
      <w:lvlText w:val="•"/>
      <w:lvlJc w:val="left"/>
      <w:pPr>
        <w:ind w:left="4670" w:hanging="408"/>
      </w:pPr>
      <w:rPr>
        <w:rFonts w:hint="default"/>
        <w:lang w:val="en-US" w:eastAsia="en-US" w:bidi="en-US"/>
      </w:rPr>
    </w:lvl>
    <w:lvl w:ilvl="5">
      <w:start w:val="0"/>
      <w:numFmt w:val="bullet"/>
      <w:lvlText w:val="•"/>
      <w:lvlJc w:val="left"/>
      <w:pPr>
        <w:ind w:left="5563" w:hanging="408"/>
      </w:pPr>
      <w:rPr>
        <w:rFonts w:hint="default"/>
        <w:lang w:val="en-US" w:eastAsia="en-US" w:bidi="en-US"/>
      </w:rPr>
    </w:lvl>
    <w:lvl w:ilvl="6">
      <w:start w:val="0"/>
      <w:numFmt w:val="bullet"/>
      <w:lvlText w:val="•"/>
      <w:lvlJc w:val="left"/>
      <w:pPr>
        <w:ind w:left="6456" w:hanging="408"/>
      </w:pPr>
      <w:rPr>
        <w:rFonts w:hint="default"/>
        <w:lang w:val="en-US" w:eastAsia="en-US" w:bidi="en-US"/>
      </w:rPr>
    </w:lvl>
    <w:lvl w:ilvl="7">
      <w:start w:val="0"/>
      <w:numFmt w:val="bullet"/>
      <w:lvlText w:val="•"/>
      <w:lvlJc w:val="left"/>
      <w:pPr>
        <w:ind w:left="7348" w:hanging="408"/>
      </w:pPr>
      <w:rPr>
        <w:rFonts w:hint="default"/>
        <w:lang w:val="en-US" w:eastAsia="en-US" w:bidi="en-US"/>
      </w:rPr>
    </w:lvl>
    <w:lvl w:ilvl="8">
      <w:start w:val="0"/>
      <w:numFmt w:val="bullet"/>
      <w:lvlText w:val="•"/>
      <w:lvlJc w:val="left"/>
      <w:pPr>
        <w:ind w:left="8241" w:hanging="408"/>
      </w:pPr>
      <w:rPr>
        <w:rFonts w:hint="default"/>
        <w:lang w:val="en-US" w:eastAsia="en-US" w:bidi="en-US"/>
      </w:rPr>
    </w:lvl>
  </w:abstractNum>
  <w:abstractNum w:abstractNumId="39">
    <w:multiLevelType w:val="hybridMultilevel"/>
    <w:lvl w:ilvl="0">
      <w:start w:val="9"/>
      <w:numFmt w:val="decimal"/>
      <w:lvlText w:val="%1"/>
      <w:lvlJc w:val="left"/>
      <w:pPr>
        <w:ind w:left="1010" w:hanging="735"/>
        <w:jc w:val="left"/>
      </w:pPr>
      <w:rPr>
        <w:rFonts w:hint="default"/>
        <w:lang w:val="en-US" w:eastAsia="en-US" w:bidi="en-US"/>
      </w:rPr>
    </w:lvl>
    <w:lvl w:ilvl="1">
      <w:start w:val="1"/>
      <w:numFmt w:val="decimal"/>
      <w:lvlText w:val="%1.%2"/>
      <w:lvlJc w:val="left"/>
      <w:pPr>
        <w:ind w:left="1010" w:hanging="735"/>
        <w:jc w:val="left"/>
      </w:pPr>
      <w:rPr>
        <w:rFonts w:hint="default"/>
        <w:lang w:val="en-US" w:eastAsia="en-US" w:bidi="en-US"/>
      </w:rPr>
    </w:lvl>
    <w:lvl w:ilvl="2">
      <w:start w:val="1"/>
      <w:numFmt w:val="decimal"/>
      <w:lvlText w:val="%1.%2.%3"/>
      <w:lvlJc w:val="left"/>
      <w:pPr>
        <w:ind w:left="1010" w:hanging="735"/>
        <w:jc w:val="left"/>
      </w:pPr>
      <w:rPr>
        <w:rFonts w:hint="default" w:ascii="黑体" w:hAnsi="黑体" w:eastAsia="黑体" w:cs="黑体"/>
        <w:spacing w:val="-2"/>
        <w:w w:val="99"/>
        <w:sz w:val="21"/>
        <w:szCs w:val="21"/>
        <w:lang w:val="en-US" w:eastAsia="en-US" w:bidi="en-US"/>
      </w:rPr>
    </w:lvl>
    <w:lvl w:ilvl="3">
      <w:start w:val="1"/>
      <w:numFmt w:val="lowerLetter"/>
      <w:lvlText w:val="%4）"/>
      <w:lvlJc w:val="left"/>
      <w:pPr>
        <w:ind w:left="1106" w:hanging="408"/>
        <w:jc w:val="left"/>
      </w:pPr>
      <w:rPr>
        <w:rFonts w:hint="default" w:ascii="Times New Roman" w:hAnsi="Times New Roman" w:eastAsia="Times New Roman" w:cs="Times New Roman"/>
        <w:w w:val="99"/>
        <w:sz w:val="21"/>
        <w:szCs w:val="21"/>
        <w:lang w:val="en-US" w:eastAsia="en-US" w:bidi="en-US"/>
      </w:rPr>
    </w:lvl>
    <w:lvl w:ilvl="4">
      <w:start w:val="1"/>
      <w:numFmt w:val="decimal"/>
      <w:lvlText w:val="%5）"/>
      <w:lvlJc w:val="left"/>
      <w:pPr>
        <w:ind w:left="1548" w:hanging="420"/>
        <w:jc w:val="left"/>
      </w:pPr>
      <w:rPr>
        <w:rFonts w:hint="default" w:ascii="Times New Roman" w:hAnsi="Times New Roman" w:eastAsia="Times New Roman" w:cs="Times New Roman"/>
        <w:spacing w:val="0"/>
        <w:w w:val="99"/>
        <w:sz w:val="21"/>
        <w:szCs w:val="21"/>
        <w:lang w:val="en-US" w:eastAsia="en-US" w:bidi="en-US"/>
      </w:rPr>
    </w:lvl>
    <w:lvl w:ilvl="5">
      <w:start w:val="0"/>
      <w:numFmt w:val="bullet"/>
      <w:lvlText w:val="•"/>
      <w:lvlJc w:val="left"/>
      <w:pPr>
        <w:ind w:left="4722" w:hanging="420"/>
      </w:pPr>
      <w:rPr>
        <w:rFonts w:hint="default"/>
        <w:lang w:val="en-US" w:eastAsia="en-US" w:bidi="en-US"/>
      </w:rPr>
    </w:lvl>
    <w:lvl w:ilvl="6">
      <w:start w:val="0"/>
      <w:numFmt w:val="bullet"/>
      <w:lvlText w:val="•"/>
      <w:lvlJc w:val="left"/>
      <w:pPr>
        <w:ind w:left="5783" w:hanging="420"/>
      </w:pPr>
      <w:rPr>
        <w:rFonts w:hint="default"/>
        <w:lang w:val="en-US" w:eastAsia="en-US" w:bidi="en-US"/>
      </w:rPr>
    </w:lvl>
    <w:lvl w:ilvl="7">
      <w:start w:val="0"/>
      <w:numFmt w:val="bullet"/>
      <w:lvlText w:val="•"/>
      <w:lvlJc w:val="left"/>
      <w:pPr>
        <w:ind w:left="6844" w:hanging="420"/>
      </w:pPr>
      <w:rPr>
        <w:rFonts w:hint="default"/>
        <w:lang w:val="en-US" w:eastAsia="en-US" w:bidi="en-US"/>
      </w:rPr>
    </w:lvl>
    <w:lvl w:ilvl="8">
      <w:start w:val="0"/>
      <w:numFmt w:val="bullet"/>
      <w:lvlText w:val="•"/>
      <w:lvlJc w:val="left"/>
      <w:pPr>
        <w:ind w:left="7905" w:hanging="420"/>
      </w:pPr>
      <w:rPr>
        <w:rFonts w:hint="default"/>
        <w:lang w:val="en-US" w:eastAsia="en-US" w:bidi="en-US"/>
      </w:rPr>
    </w:lvl>
  </w:abstractNum>
  <w:abstractNum w:abstractNumId="38">
    <w:multiLevelType w:val="hybridMultilevel"/>
    <w:lvl w:ilvl="0">
      <w:start w:val="1"/>
      <w:numFmt w:val="lowerLetter"/>
      <w:lvlText w:val="%1）"/>
      <w:lvlJc w:val="left"/>
      <w:pPr>
        <w:ind w:left="1106"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1992" w:hanging="408"/>
      </w:pPr>
      <w:rPr>
        <w:rFonts w:hint="default"/>
        <w:lang w:val="en-US" w:eastAsia="en-US" w:bidi="en-US"/>
      </w:rPr>
    </w:lvl>
    <w:lvl w:ilvl="2">
      <w:start w:val="0"/>
      <w:numFmt w:val="bullet"/>
      <w:lvlText w:val="•"/>
      <w:lvlJc w:val="left"/>
      <w:pPr>
        <w:ind w:left="2885" w:hanging="408"/>
      </w:pPr>
      <w:rPr>
        <w:rFonts w:hint="default"/>
        <w:lang w:val="en-US" w:eastAsia="en-US" w:bidi="en-US"/>
      </w:rPr>
    </w:lvl>
    <w:lvl w:ilvl="3">
      <w:start w:val="0"/>
      <w:numFmt w:val="bullet"/>
      <w:lvlText w:val="•"/>
      <w:lvlJc w:val="left"/>
      <w:pPr>
        <w:ind w:left="3778" w:hanging="408"/>
      </w:pPr>
      <w:rPr>
        <w:rFonts w:hint="default"/>
        <w:lang w:val="en-US" w:eastAsia="en-US" w:bidi="en-US"/>
      </w:rPr>
    </w:lvl>
    <w:lvl w:ilvl="4">
      <w:start w:val="0"/>
      <w:numFmt w:val="bullet"/>
      <w:lvlText w:val="•"/>
      <w:lvlJc w:val="left"/>
      <w:pPr>
        <w:ind w:left="4670" w:hanging="408"/>
      </w:pPr>
      <w:rPr>
        <w:rFonts w:hint="default"/>
        <w:lang w:val="en-US" w:eastAsia="en-US" w:bidi="en-US"/>
      </w:rPr>
    </w:lvl>
    <w:lvl w:ilvl="5">
      <w:start w:val="0"/>
      <w:numFmt w:val="bullet"/>
      <w:lvlText w:val="•"/>
      <w:lvlJc w:val="left"/>
      <w:pPr>
        <w:ind w:left="5563" w:hanging="408"/>
      </w:pPr>
      <w:rPr>
        <w:rFonts w:hint="default"/>
        <w:lang w:val="en-US" w:eastAsia="en-US" w:bidi="en-US"/>
      </w:rPr>
    </w:lvl>
    <w:lvl w:ilvl="6">
      <w:start w:val="0"/>
      <w:numFmt w:val="bullet"/>
      <w:lvlText w:val="•"/>
      <w:lvlJc w:val="left"/>
      <w:pPr>
        <w:ind w:left="6456" w:hanging="408"/>
      </w:pPr>
      <w:rPr>
        <w:rFonts w:hint="default"/>
        <w:lang w:val="en-US" w:eastAsia="en-US" w:bidi="en-US"/>
      </w:rPr>
    </w:lvl>
    <w:lvl w:ilvl="7">
      <w:start w:val="0"/>
      <w:numFmt w:val="bullet"/>
      <w:lvlText w:val="•"/>
      <w:lvlJc w:val="left"/>
      <w:pPr>
        <w:ind w:left="7348" w:hanging="408"/>
      </w:pPr>
      <w:rPr>
        <w:rFonts w:hint="default"/>
        <w:lang w:val="en-US" w:eastAsia="en-US" w:bidi="en-US"/>
      </w:rPr>
    </w:lvl>
    <w:lvl w:ilvl="8">
      <w:start w:val="0"/>
      <w:numFmt w:val="bullet"/>
      <w:lvlText w:val="•"/>
      <w:lvlJc w:val="left"/>
      <w:pPr>
        <w:ind w:left="8241" w:hanging="408"/>
      </w:pPr>
      <w:rPr>
        <w:rFonts w:hint="default"/>
        <w:lang w:val="en-US" w:eastAsia="en-US" w:bidi="en-US"/>
      </w:rPr>
    </w:lvl>
  </w:abstractNum>
  <w:abstractNum w:abstractNumId="37">
    <w:multiLevelType w:val="hybridMultilevel"/>
    <w:lvl w:ilvl="0">
      <w:start w:val="8"/>
      <w:numFmt w:val="decimal"/>
      <w:lvlText w:val="%1"/>
      <w:lvlJc w:val="left"/>
      <w:pPr>
        <w:ind w:left="1221" w:hanging="946"/>
        <w:jc w:val="left"/>
      </w:pPr>
      <w:rPr>
        <w:rFonts w:hint="default"/>
        <w:lang w:val="en-US" w:eastAsia="en-US" w:bidi="en-US"/>
      </w:rPr>
    </w:lvl>
    <w:lvl w:ilvl="1">
      <w:start w:val="1"/>
      <w:numFmt w:val="decimal"/>
      <w:lvlText w:val="%1.%2"/>
      <w:lvlJc w:val="left"/>
      <w:pPr>
        <w:ind w:left="1221" w:hanging="946"/>
        <w:jc w:val="left"/>
      </w:pPr>
      <w:rPr>
        <w:rFonts w:hint="default"/>
        <w:lang w:val="en-US" w:eastAsia="en-US" w:bidi="en-US"/>
      </w:rPr>
    </w:lvl>
    <w:lvl w:ilvl="2">
      <w:start w:val="4"/>
      <w:numFmt w:val="decimal"/>
      <w:lvlText w:val="%1.%2.%3"/>
      <w:lvlJc w:val="left"/>
      <w:pPr>
        <w:ind w:left="1221" w:hanging="946"/>
        <w:jc w:val="left"/>
      </w:pPr>
      <w:rPr>
        <w:rFonts w:hint="default"/>
        <w:lang w:val="en-US" w:eastAsia="en-US" w:bidi="en-US"/>
      </w:rPr>
    </w:lvl>
    <w:lvl w:ilvl="3">
      <w:start w:val="1"/>
      <w:numFmt w:val="decimal"/>
      <w:lvlText w:val="%1.%2.%3.%4"/>
      <w:lvlJc w:val="left"/>
      <w:pPr>
        <w:ind w:left="1221" w:hanging="946"/>
        <w:jc w:val="left"/>
      </w:pPr>
      <w:rPr>
        <w:rFonts w:hint="default" w:ascii="黑体" w:hAnsi="黑体" w:eastAsia="黑体" w:cs="黑体"/>
        <w:spacing w:val="-2"/>
        <w:w w:val="99"/>
        <w:sz w:val="21"/>
        <w:szCs w:val="21"/>
        <w:lang w:val="en-US" w:eastAsia="en-US" w:bidi="en-US"/>
      </w:rPr>
    </w:lvl>
    <w:lvl w:ilvl="4">
      <w:start w:val="1"/>
      <w:numFmt w:val="lowerLetter"/>
      <w:lvlText w:val="%5）"/>
      <w:lvlJc w:val="left"/>
      <w:pPr>
        <w:ind w:left="1106" w:hanging="408"/>
        <w:jc w:val="left"/>
      </w:pPr>
      <w:rPr>
        <w:rFonts w:hint="default" w:ascii="Times New Roman" w:hAnsi="Times New Roman" w:eastAsia="Times New Roman" w:cs="Times New Roman"/>
        <w:w w:val="99"/>
        <w:sz w:val="21"/>
        <w:szCs w:val="21"/>
        <w:lang w:val="en-US" w:eastAsia="en-US" w:bidi="en-US"/>
      </w:rPr>
    </w:lvl>
    <w:lvl w:ilvl="5">
      <w:start w:val="0"/>
      <w:numFmt w:val="bullet"/>
      <w:lvlText w:val="•"/>
      <w:lvlJc w:val="left"/>
      <w:pPr>
        <w:ind w:left="5134" w:hanging="408"/>
      </w:pPr>
      <w:rPr>
        <w:rFonts w:hint="default"/>
        <w:lang w:val="en-US" w:eastAsia="en-US" w:bidi="en-US"/>
      </w:rPr>
    </w:lvl>
    <w:lvl w:ilvl="6">
      <w:start w:val="0"/>
      <w:numFmt w:val="bullet"/>
      <w:lvlText w:val="•"/>
      <w:lvlJc w:val="left"/>
      <w:pPr>
        <w:ind w:left="6112" w:hanging="408"/>
      </w:pPr>
      <w:rPr>
        <w:rFonts w:hint="default"/>
        <w:lang w:val="en-US" w:eastAsia="en-US" w:bidi="en-US"/>
      </w:rPr>
    </w:lvl>
    <w:lvl w:ilvl="7">
      <w:start w:val="0"/>
      <w:numFmt w:val="bullet"/>
      <w:lvlText w:val="•"/>
      <w:lvlJc w:val="left"/>
      <w:pPr>
        <w:ind w:left="7091" w:hanging="408"/>
      </w:pPr>
      <w:rPr>
        <w:rFonts w:hint="default"/>
        <w:lang w:val="en-US" w:eastAsia="en-US" w:bidi="en-US"/>
      </w:rPr>
    </w:lvl>
    <w:lvl w:ilvl="8">
      <w:start w:val="0"/>
      <w:numFmt w:val="bullet"/>
      <w:lvlText w:val="•"/>
      <w:lvlJc w:val="left"/>
      <w:pPr>
        <w:ind w:left="8069" w:hanging="408"/>
      </w:pPr>
      <w:rPr>
        <w:rFonts w:hint="default"/>
        <w:lang w:val="en-US" w:eastAsia="en-US" w:bidi="en-US"/>
      </w:rPr>
    </w:lvl>
  </w:abstractNum>
  <w:abstractNum w:abstractNumId="36">
    <w:multiLevelType w:val="hybridMultilevel"/>
    <w:lvl w:ilvl="0">
      <w:start w:val="1"/>
      <w:numFmt w:val="lowerLetter"/>
      <w:lvlText w:val="%1）"/>
      <w:lvlJc w:val="left"/>
      <w:pPr>
        <w:ind w:left="1118" w:hanging="420"/>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2010" w:hanging="420"/>
      </w:pPr>
      <w:rPr>
        <w:rFonts w:hint="default"/>
        <w:lang w:val="en-US" w:eastAsia="en-US" w:bidi="en-US"/>
      </w:rPr>
    </w:lvl>
    <w:lvl w:ilvl="2">
      <w:start w:val="0"/>
      <w:numFmt w:val="bullet"/>
      <w:lvlText w:val="•"/>
      <w:lvlJc w:val="left"/>
      <w:pPr>
        <w:ind w:left="2901" w:hanging="420"/>
      </w:pPr>
      <w:rPr>
        <w:rFonts w:hint="default"/>
        <w:lang w:val="en-US" w:eastAsia="en-US" w:bidi="en-US"/>
      </w:rPr>
    </w:lvl>
    <w:lvl w:ilvl="3">
      <w:start w:val="0"/>
      <w:numFmt w:val="bullet"/>
      <w:lvlText w:val="•"/>
      <w:lvlJc w:val="left"/>
      <w:pPr>
        <w:ind w:left="3792" w:hanging="420"/>
      </w:pPr>
      <w:rPr>
        <w:rFonts w:hint="default"/>
        <w:lang w:val="en-US" w:eastAsia="en-US" w:bidi="en-US"/>
      </w:rPr>
    </w:lvl>
    <w:lvl w:ilvl="4">
      <w:start w:val="0"/>
      <w:numFmt w:val="bullet"/>
      <w:lvlText w:val="•"/>
      <w:lvlJc w:val="left"/>
      <w:pPr>
        <w:ind w:left="4682" w:hanging="420"/>
      </w:pPr>
      <w:rPr>
        <w:rFonts w:hint="default"/>
        <w:lang w:val="en-US" w:eastAsia="en-US" w:bidi="en-US"/>
      </w:rPr>
    </w:lvl>
    <w:lvl w:ilvl="5">
      <w:start w:val="0"/>
      <w:numFmt w:val="bullet"/>
      <w:lvlText w:val="•"/>
      <w:lvlJc w:val="left"/>
      <w:pPr>
        <w:ind w:left="5573" w:hanging="420"/>
      </w:pPr>
      <w:rPr>
        <w:rFonts w:hint="default"/>
        <w:lang w:val="en-US" w:eastAsia="en-US" w:bidi="en-US"/>
      </w:rPr>
    </w:lvl>
    <w:lvl w:ilvl="6">
      <w:start w:val="0"/>
      <w:numFmt w:val="bullet"/>
      <w:lvlText w:val="•"/>
      <w:lvlJc w:val="left"/>
      <w:pPr>
        <w:ind w:left="6464" w:hanging="420"/>
      </w:pPr>
      <w:rPr>
        <w:rFonts w:hint="default"/>
        <w:lang w:val="en-US" w:eastAsia="en-US" w:bidi="en-US"/>
      </w:rPr>
    </w:lvl>
    <w:lvl w:ilvl="7">
      <w:start w:val="0"/>
      <w:numFmt w:val="bullet"/>
      <w:lvlText w:val="•"/>
      <w:lvlJc w:val="left"/>
      <w:pPr>
        <w:ind w:left="7354" w:hanging="420"/>
      </w:pPr>
      <w:rPr>
        <w:rFonts w:hint="default"/>
        <w:lang w:val="en-US" w:eastAsia="en-US" w:bidi="en-US"/>
      </w:rPr>
    </w:lvl>
    <w:lvl w:ilvl="8">
      <w:start w:val="0"/>
      <w:numFmt w:val="bullet"/>
      <w:lvlText w:val="•"/>
      <w:lvlJc w:val="left"/>
      <w:pPr>
        <w:ind w:left="8245" w:hanging="420"/>
      </w:pPr>
      <w:rPr>
        <w:rFonts w:hint="default"/>
        <w:lang w:val="en-US" w:eastAsia="en-US" w:bidi="en-US"/>
      </w:rPr>
    </w:lvl>
  </w:abstractNum>
  <w:abstractNum w:abstractNumId="35">
    <w:multiLevelType w:val="hybridMultilevel"/>
    <w:lvl w:ilvl="0">
      <w:start w:val="1"/>
      <w:numFmt w:val="lowerLetter"/>
      <w:lvlText w:val="%1）"/>
      <w:lvlJc w:val="left"/>
      <w:pPr>
        <w:ind w:left="1106"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1992" w:hanging="408"/>
      </w:pPr>
      <w:rPr>
        <w:rFonts w:hint="default"/>
        <w:lang w:val="en-US" w:eastAsia="en-US" w:bidi="en-US"/>
      </w:rPr>
    </w:lvl>
    <w:lvl w:ilvl="2">
      <w:start w:val="0"/>
      <w:numFmt w:val="bullet"/>
      <w:lvlText w:val="•"/>
      <w:lvlJc w:val="left"/>
      <w:pPr>
        <w:ind w:left="2885" w:hanging="408"/>
      </w:pPr>
      <w:rPr>
        <w:rFonts w:hint="default"/>
        <w:lang w:val="en-US" w:eastAsia="en-US" w:bidi="en-US"/>
      </w:rPr>
    </w:lvl>
    <w:lvl w:ilvl="3">
      <w:start w:val="0"/>
      <w:numFmt w:val="bullet"/>
      <w:lvlText w:val="•"/>
      <w:lvlJc w:val="left"/>
      <w:pPr>
        <w:ind w:left="3778" w:hanging="408"/>
      </w:pPr>
      <w:rPr>
        <w:rFonts w:hint="default"/>
        <w:lang w:val="en-US" w:eastAsia="en-US" w:bidi="en-US"/>
      </w:rPr>
    </w:lvl>
    <w:lvl w:ilvl="4">
      <w:start w:val="0"/>
      <w:numFmt w:val="bullet"/>
      <w:lvlText w:val="•"/>
      <w:lvlJc w:val="left"/>
      <w:pPr>
        <w:ind w:left="4670" w:hanging="408"/>
      </w:pPr>
      <w:rPr>
        <w:rFonts w:hint="default"/>
        <w:lang w:val="en-US" w:eastAsia="en-US" w:bidi="en-US"/>
      </w:rPr>
    </w:lvl>
    <w:lvl w:ilvl="5">
      <w:start w:val="0"/>
      <w:numFmt w:val="bullet"/>
      <w:lvlText w:val="•"/>
      <w:lvlJc w:val="left"/>
      <w:pPr>
        <w:ind w:left="5563" w:hanging="408"/>
      </w:pPr>
      <w:rPr>
        <w:rFonts w:hint="default"/>
        <w:lang w:val="en-US" w:eastAsia="en-US" w:bidi="en-US"/>
      </w:rPr>
    </w:lvl>
    <w:lvl w:ilvl="6">
      <w:start w:val="0"/>
      <w:numFmt w:val="bullet"/>
      <w:lvlText w:val="•"/>
      <w:lvlJc w:val="left"/>
      <w:pPr>
        <w:ind w:left="6456" w:hanging="408"/>
      </w:pPr>
      <w:rPr>
        <w:rFonts w:hint="default"/>
        <w:lang w:val="en-US" w:eastAsia="en-US" w:bidi="en-US"/>
      </w:rPr>
    </w:lvl>
    <w:lvl w:ilvl="7">
      <w:start w:val="0"/>
      <w:numFmt w:val="bullet"/>
      <w:lvlText w:val="•"/>
      <w:lvlJc w:val="left"/>
      <w:pPr>
        <w:ind w:left="7348" w:hanging="408"/>
      </w:pPr>
      <w:rPr>
        <w:rFonts w:hint="default"/>
        <w:lang w:val="en-US" w:eastAsia="en-US" w:bidi="en-US"/>
      </w:rPr>
    </w:lvl>
    <w:lvl w:ilvl="8">
      <w:start w:val="0"/>
      <w:numFmt w:val="bullet"/>
      <w:lvlText w:val="•"/>
      <w:lvlJc w:val="left"/>
      <w:pPr>
        <w:ind w:left="8241" w:hanging="408"/>
      </w:pPr>
      <w:rPr>
        <w:rFonts w:hint="default"/>
        <w:lang w:val="en-US" w:eastAsia="en-US" w:bidi="en-US"/>
      </w:rPr>
    </w:lvl>
  </w:abstractNum>
  <w:abstractNum w:abstractNumId="34">
    <w:multiLevelType w:val="hybridMultilevel"/>
    <w:lvl w:ilvl="0">
      <w:start w:val="8"/>
      <w:numFmt w:val="decimal"/>
      <w:lvlText w:val="%1"/>
      <w:lvlJc w:val="left"/>
      <w:pPr>
        <w:ind w:left="1010" w:hanging="735"/>
        <w:jc w:val="left"/>
      </w:pPr>
      <w:rPr>
        <w:rFonts w:hint="default"/>
        <w:lang w:val="en-US" w:eastAsia="en-US" w:bidi="en-US"/>
      </w:rPr>
    </w:lvl>
    <w:lvl w:ilvl="1">
      <w:start w:val="1"/>
      <w:numFmt w:val="decimal"/>
      <w:lvlText w:val="%1.%2"/>
      <w:lvlJc w:val="left"/>
      <w:pPr>
        <w:ind w:left="1010" w:hanging="735"/>
        <w:jc w:val="left"/>
      </w:pPr>
      <w:rPr>
        <w:rFonts w:hint="default"/>
        <w:lang w:val="en-US" w:eastAsia="en-US" w:bidi="en-US"/>
      </w:rPr>
    </w:lvl>
    <w:lvl w:ilvl="2">
      <w:start w:val="1"/>
      <w:numFmt w:val="decimal"/>
      <w:lvlText w:val="%1.%2.%3"/>
      <w:lvlJc w:val="left"/>
      <w:pPr>
        <w:ind w:left="1010" w:hanging="735"/>
        <w:jc w:val="left"/>
      </w:pPr>
      <w:rPr>
        <w:rFonts w:hint="default" w:ascii="黑体" w:hAnsi="黑体" w:eastAsia="黑体" w:cs="黑体"/>
        <w:spacing w:val="-2"/>
        <w:w w:val="99"/>
        <w:sz w:val="21"/>
        <w:szCs w:val="21"/>
        <w:lang w:val="en-US" w:eastAsia="en-US" w:bidi="en-US"/>
      </w:rPr>
    </w:lvl>
    <w:lvl w:ilvl="3">
      <w:start w:val="1"/>
      <w:numFmt w:val="lowerLetter"/>
      <w:lvlText w:val="%4）"/>
      <w:lvlJc w:val="left"/>
      <w:pPr>
        <w:ind w:left="1106" w:hanging="408"/>
        <w:jc w:val="left"/>
      </w:pPr>
      <w:rPr>
        <w:rFonts w:hint="default" w:ascii="Times New Roman" w:hAnsi="Times New Roman" w:eastAsia="Times New Roman" w:cs="Times New Roman"/>
        <w:w w:val="99"/>
        <w:sz w:val="21"/>
        <w:szCs w:val="21"/>
        <w:lang w:val="en-US" w:eastAsia="en-US" w:bidi="en-US"/>
      </w:rPr>
    </w:lvl>
    <w:lvl w:ilvl="4">
      <w:start w:val="0"/>
      <w:numFmt w:val="bullet"/>
      <w:lvlText w:val="•"/>
      <w:lvlJc w:val="left"/>
      <w:pPr>
        <w:ind w:left="4075" w:hanging="408"/>
      </w:pPr>
      <w:rPr>
        <w:rFonts w:hint="default"/>
        <w:lang w:val="en-US" w:eastAsia="en-US" w:bidi="en-US"/>
      </w:rPr>
    </w:lvl>
    <w:lvl w:ilvl="5">
      <w:start w:val="0"/>
      <w:numFmt w:val="bullet"/>
      <w:lvlText w:val="•"/>
      <w:lvlJc w:val="left"/>
      <w:pPr>
        <w:ind w:left="5067" w:hanging="408"/>
      </w:pPr>
      <w:rPr>
        <w:rFonts w:hint="default"/>
        <w:lang w:val="en-US" w:eastAsia="en-US" w:bidi="en-US"/>
      </w:rPr>
    </w:lvl>
    <w:lvl w:ilvl="6">
      <w:start w:val="0"/>
      <w:numFmt w:val="bullet"/>
      <w:lvlText w:val="•"/>
      <w:lvlJc w:val="left"/>
      <w:pPr>
        <w:ind w:left="6059" w:hanging="408"/>
      </w:pPr>
      <w:rPr>
        <w:rFonts w:hint="default"/>
        <w:lang w:val="en-US" w:eastAsia="en-US" w:bidi="en-US"/>
      </w:rPr>
    </w:lvl>
    <w:lvl w:ilvl="7">
      <w:start w:val="0"/>
      <w:numFmt w:val="bullet"/>
      <w:lvlText w:val="•"/>
      <w:lvlJc w:val="left"/>
      <w:pPr>
        <w:ind w:left="7051" w:hanging="408"/>
      </w:pPr>
      <w:rPr>
        <w:rFonts w:hint="default"/>
        <w:lang w:val="en-US" w:eastAsia="en-US" w:bidi="en-US"/>
      </w:rPr>
    </w:lvl>
    <w:lvl w:ilvl="8">
      <w:start w:val="0"/>
      <w:numFmt w:val="bullet"/>
      <w:lvlText w:val="•"/>
      <w:lvlJc w:val="left"/>
      <w:pPr>
        <w:ind w:left="8043" w:hanging="408"/>
      </w:pPr>
      <w:rPr>
        <w:rFonts w:hint="default"/>
        <w:lang w:val="en-US" w:eastAsia="en-US" w:bidi="en-US"/>
      </w:rPr>
    </w:lvl>
  </w:abstractNum>
  <w:abstractNum w:abstractNumId="33">
    <w:multiLevelType w:val="hybridMultilevel"/>
    <w:lvl w:ilvl="0">
      <w:start w:val="1"/>
      <w:numFmt w:val="lowerLetter"/>
      <w:lvlText w:val="%1）"/>
      <w:lvlJc w:val="left"/>
      <w:pPr>
        <w:ind w:left="1106"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1992" w:hanging="408"/>
      </w:pPr>
      <w:rPr>
        <w:rFonts w:hint="default"/>
        <w:lang w:val="en-US" w:eastAsia="en-US" w:bidi="en-US"/>
      </w:rPr>
    </w:lvl>
    <w:lvl w:ilvl="2">
      <w:start w:val="0"/>
      <w:numFmt w:val="bullet"/>
      <w:lvlText w:val="•"/>
      <w:lvlJc w:val="left"/>
      <w:pPr>
        <w:ind w:left="2885" w:hanging="408"/>
      </w:pPr>
      <w:rPr>
        <w:rFonts w:hint="default"/>
        <w:lang w:val="en-US" w:eastAsia="en-US" w:bidi="en-US"/>
      </w:rPr>
    </w:lvl>
    <w:lvl w:ilvl="3">
      <w:start w:val="0"/>
      <w:numFmt w:val="bullet"/>
      <w:lvlText w:val="•"/>
      <w:lvlJc w:val="left"/>
      <w:pPr>
        <w:ind w:left="3778" w:hanging="408"/>
      </w:pPr>
      <w:rPr>
        <w:rFonts w:hint="default"/>
        <w:lang w:val="en-US" w:eastAsia="en-US" w:bidi="en-US"/>
      </w:rPr>
    </w:lvl>
    <w:lvl w:ilvl="4">
      <w:start w:val="0"/>
      <w:numFmt w:val="bullet"/>
      <w:lvlText w:val="•"/>
      <w:lvlJc w:val="left"/>
      <w:pPr>
        <w:ind w:left="4670" w:hanging="408"/>
      </w:pPr>
      <w:rPr>
        <w:rFonts w:hint="default"/>
        <w:lang w:val="en-US" w:eastAsia="en-US" w:bidi="en-US"/>
      </w:rPr>
    </w:lvl>
    <w:lvl w:ilvl="5">
      <w:start w:val="0"/>
      <w:numFmt w:val="bullet"/>
      <w:lvlText w:val="•"/>
      <w:lvlJc w:val="left"/>
      <w:pPr>
        <w:ind w:left="5563" w:hanging="408"/>
      </w:pPr>
      <w:rPr>
        <w:rFonts w:hint="default"/>
        <w:lang w:val="en-US" w:eastAsia="en-US" w:bidi="en-US"/>
      </w:rPr>
    </w:lvl>
    <w:lvl w:ilvl="6">
      <w:start w:val="0"/>
      <w:numFmt w:val="bullet"/>
      <w:lvlText w:val="•"/>
      <w:lvlJc w:val="left"/>
      <w:pPr>
        <w:ind w:left="6456" w:hanging="408"/>
      </w:pPr>
      <w:rPr>
        <w:rFonts w:hint="default"/>
        <w:lang w:val="en-US" w:eastAsia="en-US" w:bidi="en-US"/>
      </w:rPr>
    </w:lvl>
    <w:lvl w:ilvl="7">
      <w:start w:val="0"/>
      <w:numFmt w:val="bullet"/>
      <w:lvlText w:val="•"/>
      <w:lvlJc w:val="left"/>
      <w:pPr>
        <w:ind w:left="7348" w:hanging="408"/>
      </w:pPr>
      <w:rPr>
        <w:rFonts w:hint="default"/>
        <w:lang w:val="en-US" w:eastAsia="en-US" w:bidi="en-US"/>
      </w:rPr>
    </w:lvl>
    <w:lvl w:ilvl="8">
      <w:start w:val="0"/>
      <w:numFmt w:val="bullet"/>
      <w:lvlText w:val="•"/>
      <w:lvlJc w:val="left"/>
      <w:pPr>
        <w:ind w:left="8241" w:hanging="408"/>
      </w:pPr>
      <w:rPr>
        <w:rFonts w:hint="default"/>
        <w:lang w:val="en-US" w:eastAsia="en-US" w:bidi="en-US"/>
      </w:rPr>
    </w:lvl>
  </w:abstractNum>
  <w:abstractNum w:abstractNumId="32">
    <w:multiLevelType w:val="hybridMultilevel"/>
    <w:lvl w:ilvl="0">
      <w:start w:val="1"/>
      <w:numFmt w:val="lowerLetter"/>
      <w:lvlText w:val="%1）"/>
      <w:lvlJc w:val="left"/>
      <w:pPr>
        <w:ind w:left="1106"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1992" w:hanging="408"/>
      </w:pPr>
      <w:rPr>
        <w:rFonts w:hint="default"/>
        <w:lang w:val="en-US" w:eastAsia="en-US" w:bidi="en-US"/>
      </w:rPr>
    </w:lvl>
    <w:lvl w:ilvl="2">
      <w:start w:val="0"/>
      <w:numFmt w:val="bullet"/>
      <w:lvlText w:val="•"/>
      <w:lvlJc w:val="left"/>
      <w:pPr>
        <w:ind w:left="2885" w:hanging="408"/>
      </w:pPr>
      <w:rPr>
        <w:rFonts w:hint="default"/>
        <w:lang w:val="en-US" w:eastAsia="en-US" w:bidi="en-US"/>
      </w:rPr>
    </w:lvl>
    <w:lvl w:ilvl="3">
      <w:start w:val="0"/>
      <w:numFmt w:val="bullet"/>
      <w:lvlText w:val="•"/>
      <w:lvlJc w:val="left"/>
      <w:pPr>
        <w:ind w:left="3778" w:hanging="408"/>
      </w:pPr>
      <w:rPr>
        <w:rFonts w:hint="default"/>
        <w:lang w:val="en-US" w:eastAsia="en-US" w:bidi="en-US"/>
      </w:rPr>
    </w:lvl>
    <w:lvl w:ilvl="4">
      <w:start w:val="0"/>
      <w:numFmt w:val="bullet"/>
      <w:lvlText w:val="•"/>
      <w:lvlJc w:val="left"/>
      <w:pPr>
        <w:ind w:left="4670" w:hanging="408"/>
      </w:pPr>
      <w:rPr>
        <w:rFonts w:hint="default"/>
        <w:lang w:val="en-US" w:eastAsia="en-US" w:bidi="en-US"/>
      </w:rPr>
    </w:lvl>
    <w:lvl w:ilvl="5">
      <w:start w:val="0"/>
      <w:numFmt w:val="bullet"/>
      <w:lvlText w:val="•"/>
      <w:lvlJc w:val="left"/>
      <w:pPr>
        <w:ind w:left="5563" w:hanging="408"/>
      </w:pPr>
      <w:rPr>
        <w:rFonts w:hint="default"/>
        <w:lang w:val="en-US" w:eastAsia="en-US" w:bidi="en-US"/>
      </w:rPr>
    </w:lvl>
    <w:lvl w:ilvl="6">
      <w:start w:val="0"/>
      <w:numFmt w:val="bullet"/>
      <w:lvlText w:val="•"/>
      <w:lvlJc w:val="left"/>
      <w:pPr>
        <w:ind w:left="6456" w:hanging="408"/>
      </w:pPr>
      <w:rPr>
        <w:rFonts w:hint="default"/>
        <w:lang w:val="en-US" w:eastAsia="en-US" w:bidi="en-US"/>
      </w:rPr>
    </w:lvl>
    <w:lvl w:ilvl="7">
      <w:start w:val="0"/>
      <w:numFmt w:val="bullet"/>
      <w:lvlText w:val="•"/>
      <w:lvlJc w:val="left"/>
      <w:pPr>
        <w:ind w:left="7348" w:hanging="408"/>
      </w:pPr>
      <w:rPr>
        <w:rFonts w:hint="default"/>
        <w:lang w:val="en-US" w:eastAsia="en-US" w:bidi="en-US"/>
      </w:rPr>
    </w:lvl>
    <w:lvl w:ilvl="8">
      <w:start w:val="0"/>
      <w:numFmt w:val="bullet"/>
      <w:lvlText w:val="•"/>
      <w:lvlJc w:val="left"/>
      <w:pPr>
        <w:ind w:left="8241" w:hanging="408"/>
      </w:pPr>
      <w:rPr>
        <w:rFonts w:hint="default"/>
        <w:lang w:val="en-US" w:eastAsia="en-US" w:bidi="en-US"/>
      </w:rPr>
    </w:lvl>
  </w:abstractNum>
  <w:abstractNum w:abstractNumId="31">
    <w:multiLevelType w:val="hybridMultilevel"/>
    <w:lvl w:ilvl="0">
      <w:start w:val="7"/>
      <w:numFmt w:val="decimal"/>
      <w:lvlText w:val="%1"/>
      <w:lvlJc w:val="left"/>
      <w:pPr>
        <w:ind w:left="1010" w:hanging="735"/>
        <w:jc w:val="left"/>
      </w:pPr>
      <w:rPr>
        <w:rFonts w:hint="default"/>
        <w:lang w:val="en-US" w:eastAsia="en-US" w:bidi="en-US"/>
      </w:rPr>
    </w:lvl>
    <w:lvl w:ilvl="1">
      <w:start w:val="5"/>
      <w:numFmt w:val="decimal"/>
      <w:lvlText w:val="%1.%2"/>
      <w:lvlJc w:val="left"/>
      <w:pPr>
        <w:ind w:left="1010" w:hanging="735"/>
        <w:jc w:val="left"/>
      </w:pPr>
      <w:rPr>
        <w:rFonts w:hint="default"/>
        <w:lang w:val="en-US" w:eastAsia="en-US" w:bidi="en-US"/>
      </w:rPr>
    </w:lvl>
    <w:lvl w:ilvl="2">
      <w:start w:val="1"/>
      <w:numFmt w:val="decimal"/>
      <w:lvlText w:val="%1.%2.%3"/>
      <w:lvlJc w:val="left"/>
      <w:pPr>
        <w:ind w:left="1010" w:hanging="735"/>
        <w:jc w:val="left"/>
      </w:pPr>
      <w:rPr>
        <w:rFonts w:hint="default" w:ascii="黑体" w:hAnsi="黑体" w:eastAsia="黑体" w:cs="黑体"/>
        <w:spacing w:val="-2"/>
        <w:w w:val="99"/>
        <w:sz w:val="21"/>
        <w:szCs w:val="21"/>
        <w:lang w:val="en-US" w:eastAsia="en-US" w:bidi="en-US"/>
      </w:rPr>
    </w:lvl>
    <w:lvl w:ilvl="3">
      <w:start w:val="1"/>
      <w:numFmt w:val="lowerLetter"/>
      <w:lvlText w:val="%4）"/>
      <w:lvlJc w:val="left"/>
      <w:pPr>
        <w:ind w:left="1002" w:hanging="304"/>
        <w:jc w:val="left"/>
      </w:pPr>
      <w:rPr>
        <w:rFonts w:hint="default" w:ascii="Times New Roman" w:hAnsi="Times New Roman" w:eastAsia="Times New Roman" w:cs="Times New Roman"/>
        <w:spacing w:val="-1"/>
        <w:w w:val="99"/>
        <w:sz w:val="19"/>
        <w:szCs w:val="19"/>
        <w:lang w:val="en-US" w:eastAsia="en-US" w:bidi="en-US"/>
      </w:rPr>
    </w:lvl>
    <w:lvl w:ilvl="4">
      <w:start w:val="0"/>
      <w:numFmt w:val="bullet"/>
      <w:lvlText w:val="•"/>
      <w:lvlJc w:val="left"/>
      <w:pPr>
        <w:ind w:left="4022" w:hanging="304"/>
      </w:pPr>
      <w:rPr>
        <w:rFonts w:hint="default"/>
        <w:lang w:val="en-US" w:eastAsia="en-US" w:bidi="en-US"/>
      </w:rPr>
    </w:lvl>
    <w:lvl w:ilvl="5">
      <w:start w:val="0"/>
      <w:numFmt w:val="bullet"/>
      <w:lvlText w:val="•"/>
      <w:lvlJc w:val="left"/>
      <w:pPr>
        <w:ind w:left="5023" w:hanging="304"/>
      </w:pPr>
      <w:rPr>
        <w:rFonts w:hint="default"/>
        <w:lang w:val="en-US" w:eastAsia="en-US" w:bidi="en-US"/>
      </w:rPr>
    </w:lvl>
    <w:lvl w:ilvl="6">
      <w:start w:val="0"/>
      <w:numFmt w:val="bullet"/>
      <w:lvlText w:val="•"/>
      <w:lvlJc w:val="left"/>
      <w:pPr>
        <w:ind w:left="6023" w:hanging="304"/>
      </w:pPr>
      <w:rPr>
        <w:rFonts w:hint="default"/>
        <w:lang w:val="en-US" w:eastAsia="en-US" w:bidi="en-US"/>
      </w:rPr>
    </w:lvl>
    <w:lvl w:ilvl="7">
      <w:start w:val="0"/>
      <w:numFmt w:val="bullet"/>
      <w:lvlText w:val="•"/>
      <w:lvlJc w:val="left"/>
      <w:pPr>
        <w:ind w:left="7024" w:hanging="304"/>
      </w:pPr>
      <w:rPr>
        <w:rFonts w:hint="default"/>
        <w:lang w:val="en-US" w:eastAsia="en-US" w:bidi="en-US"/>
      </w:rPr>
    </w:lvl>
    <w:lvl w:ilvl="8">
      <w:start w:val="0"/>
      <w:numFmt w:val="bullet"/>
      <w:lvlText w:val="•"/>
      <w:lvlJc w:val="left"/>
      <w:pPr>
        <w:ind w:left="8025" w:hanging="304"/>
      </w:pPr>
      <w:rPr>
        <w:rFonts w:hint="default"/>
        <w:lang w:val="en-US" w:eastAsia="en-US" w:bidi="en-US"/>
      </w:rPr>
    </w:lvl>
  </w:abstractNum>
  <w:abstractNum w:abstractNumId="30">
    <w:multiLevelType w:val="hybridMultilevel"/>
    <w:lvl w:ilvl="0">
      <w:start w:val="1"/>
      <w:numFmt w:val="lowerLetter"/>
      <w:lvlText w:val="%1）"/>
      <w:lvlJc w:val="left"/>
      <w:pPr>
        <w:ind w:left="986" w:hanging="304"/>
        <w:jc w:val="left"/>
      </w:pPr>
      <w:rPr>
        <w:rFonts w:hint="default" w:ascii="Times New Roman" w:hAnsi="Times New Roman" w:eastAsia="Times New Roman" w:cs="Times New Roman"/>
        <w:spacing w:val="-46"/>
        <w:w w:val="99"/>
        <w:sz w:val="19"/>
        <w:szCs w:val="19"/>
        <w:lang w:val="en-US" w:eastAsia="en-US" w:bidi="en-US"/>
      </w:rPr>
    </w:lvl>
    <w:lvl w:ilvl="1">
      <w:start w:val="0"/>
      <w:numFmt w:val="bullet"/>
      <w:lvlText w:val="•"/>
      <w:lvlJc w:val="left"/>
      <w:pPr>
        <w:ind w:left="1884" w:hanging="304"/>
      </w:pPr>
      <w:rPr>
        <w:rFonts w:hint="default"/>
        <w:lang w:val="en-US" w:eastAsia="en-US" w:bidi="en-US"/>
      </w:rPr>
    </w:lvl>
    <w:lvl w:ilvl="2">
      <w:start w:val="0"/>
      <w:numFmt w:val="bullet"/>
      <w:lvlText w:val="•"/>
      <w:lvlJc w:val="left"/>
      <w:pPr>
        <w:ind w:left="2789" w:hanging="304"/>
      </w:pPr>
      <w:rPr>
        <w:rFonts w:hint="default"/>
        <w:lang w:val="en-US" w:eastAsia="en-US" w:bidi="en-US"/>
      </w:rPr>
    </w:lvl>
    <w:lvl w:ilvl="3">
      <w:start w:val="0"/>
      <w:numFmt w:val="bullet"/>
      <w:lvlText w:val="•"/>
      <w:lvlJc w:val="left"/>
      <w:pPr>
        <w:ind w:left="3694" w:hanging="304"/>
      </w:pPr>
      <w:rPr>
        <w:rFonts w:hint="default"/>
        <w:lang w:val="en-US" w:eastAsia="en-US" w:bidi="en-US"/>
      </w:rPr>
    </w:lvl>
    <w:lvl w:ilvl="4">
      <w:start w:val="0"/>
      <w:numFmt w:val="bullet"/>
      <w:lvlText w:val="•"/>
      <w:lvlJc w:val="left"/>
      <w:pPr>
        <w:ind w:left="4598" w:hanging="304"/>
      </w:pPr>
      <w:rPr>
        <w:rFonts w:hint="default"/>
        <w:lang w:val="en-US" w:eastAsia="en-US" w:bidi="en-US"/>
      </w:rPr>
    </w:lvl>
    <w:lvl w:ilvl="5">
      <w:start w:val="0"/>
      <w:numFmt w:val="bullet"/>
      <w:lvlText w:val="•"/>
      <w:lvlJc w:val="left"/>
      <w:pPr>
        <w:ind w:left="5503" w:hanging="304"/>
      </w:pPr>
      <w:rPr>
        <w:rFonts w:hint="default"/>
        <w:lang w:val="en-US" w:eastAsia="en-US" w:bidi="en-US"/>
      </w:rPr>
    </w:lvl>
    <w:lvl w:ilvl="6">
      <w:start w:val="0"/>
      <w:numFmt w:val="bullet"/>
      <w:lvlText w:val="•"/>
      <w:lvlJc w:val="left"/>
      <w:pPr>
        <w:ind w:left="6408" w:hanging="304"/>
      </w:pPr>
      <w:rPr>
        <w:rFonts w:hint="default"/>
        <w:lang w:val="en-US" w:eastAsia="en-US" w:bidi="en-US"/>
      </w:rPr>
    </w:lvl>
    <w:lvl w:ilvl="7">
      <w:start w:val="0"/>
      <w:numFmt w:val="bullet"/>
      <w:lvlText w:val="•"/>
      <w:lvlJc w:val="left"/>
      <w:pPr>
        <w:ind w:left="7312" w:hanging="304"/>
      </w:pPr>
      <w:rPr>
        <w:rFonts w:hint="default"/>
        <w:lang w:val="en-US" w:eastAsia="en-US" w:bidi="en-US"/>
      </w:rPr>
    </w:lvl>
    <w:lvl w:ilvl="8">
      <w:start w:val="0"/>
      <w:numFmt w:val="bullet"/>
      <w:lvlText w:val="•"/>
      <w:lvlJc w:val="left"/>
      <w:pPr>
        <w:ind w:left="8217" w:hanging="304"/>
      </w:pPr>
      <w:rPr>
        <w:rFonts w:hint="default"/>
        <w:lang w:val="en-US" w:eastAsia="en-US" w:bidi="en-US"/>
      </w:rPr>
    </w:lvl>
  </w:abstractNum>
  <w:abstractNum w:abstractNumId="29">
    <w:multiLevelType w:val="hybridMultilevel"/>
    <w:lvl w:ilvl="0">
      <w:start w:val="7"/>
      <w:numFmt w:val="decimal"/>
      <w:lvlText w:val="%1"/>
      <w:lvlJc w:val="left"/>
      <w:pPr>
        <w:ind w:left="1010" w:hanging="735"/>
        <w:jc w:val="left"/>
      </w:pPr>
      <w:rPr>
        <w:rFonts w:hint="default"/>
        <w:lang w:val="en-US" w:eastAsia="en-US" w:bidi="en-US"/>
      </w:rPr>
    </w:lvl>
    <w:lvl w:ilvl="1">
      <w:start w:val="4"/>
      <w:numFmt w:val="decimal"/>
      <w:lvlText w:val="%1.%2"/>
      <w:lvlJc w:val="left"/>
      <w:pPr>
        <w:ind w:left="1010" w:hanging="735"/>
        <w:jc w:val="left"/>
      </w:pPr>
      <w:rPr>
        <w:rFonts w:hint="default"/>
        <w:lang w:val="en-US" w:eastAsia="en-US" w:bidi="en-US"/>
      </w:rPr>
    </w:lvl>
    <w:lvl w:ilvl="2">
      <w:start w:val="1"/>
      <w:numFmt w:val="decimal"/>
      <w:lvlText w:val="%1.%2.%3"/>
      <w:lvlJc w:val="left"/>
      <w:pPr>
        <w:ind w:left="1010" w:hanging="735"/>
        <w:jc w:val="left"/>
      </w:pPr>
      <w:rPr>
        <w:rFonts w:hint="default" w:ascii="黑体" w:hAnsi="黑体" w:eastAsia="黑体" w:cs="黑体"/>
        <w:spacing w:val="-2"/>
        <w:w w:val="99"/>
        <w:sz w:val="21"/>
        <w:szCs w:val="21"/>
        <w:lang w:val="en-US" w:eastAsia="en-US" w:bidi="en-US"/>
      </w:rPr>
    </w:lvl>
    <w:lvl w:ilvl="3">
      <w:start w:val="1"/>
      <w:numFmt w:val="lowerLetter"/>
      <w:lvlText w:val="%4）"/>
      <w:lvlJc w:val="left"/>
      <w:pPr>
        <w:ind w:left="698" w:hanging="408"/>
        <w:jc w:val="left"/>
      </w:pPr>
      <w:rPr>
        <w:rFonts w:hint="default" w:ascii="Times New Roman" w:hAnsi="Times New Roman" w:eastAsia="Times New Roman" w:cs="Times New Roman"/>
        <w:w w:val="99"/>
        <w:sz w:val="21"/>
        <w:szCs w:val="21"/>
        <w:lang w:val="en-US" w:eastAsia="en-US" w:bidi="en-US"/>
      </w:rPr>
    </w:lvl>
    <w:lvl w:ilvl="4">
      <w:start w:val="1"/>
      <w:numFmt w:val="decimal"/>
      <w:lvlText w:val="%5）"/>
      <w:lvlJc w:val="left"/>
      <w:pPr>
        <w:ind w:left="1548" w:hanging="420"/>
        <w:jc w:val="left"/>
      </w:pPr>
      <w:rPr>
        <w:rFonts w:hint="default" w:ascii="Times New Roman" w:hAnsi="Times New Roman" w:eastAsia="Times New Roman" w:cs="Times New Roman"/>
        <w:spacing w:val="0"/>
        <w:w w:val="99"/>
        <w:sz w:val="21"/>
        <w:szCs w:val="21"/>
        <w:lang w:val="en-US" w:eastAsia="en-US" w:bidi="en-US"/>
      </w:rPr>
    </w:lvl>
    <w:lvl w:ilvl="5">
      <w:start w:val="0"/>
      <w:numFmt w:val="bullet"/>
      <w:lvlText w:val="•"/>
      <w:lvlJc w:val="left"/>
      <w:pPr>
        <w:ind w:left="4722" w:hanging="420"/>
      </w:pPr>
      <w:rPr>
        <w:rFonts w:hint="default"/>
        <w:lang w:val="en-US" w:eastAsia="en-US" w:bidi="en-US"/>
      </w:rPr>
    </w:lvl>
    <w:lvl w:ilvl="6">
      <w:start w:val="0"/>
      <w:numFmt w:val="bullet"/>
      <w:lvlText w:val="•"/>
      <w:lvlJc w:val="left"/>
      <w:pPr>
        <w:ind w:left="5783" w:hanging="420"/>
      </w:pPr>
      <w:rPr>
        <w:rFonts w:hint="default"/>
        <w:lang w:val="en-US" w:eastAsia="en-US" w:bidi="en-US"/>
      </w:rPr>
    </w:lvl>
    <w:lvl w:ilvl="7">
      <w:start w:val="0"/>
      <w:numFmt w:val="bullet"/>
      <w:lvlText w:val="•"/>
      <w:lvlJc w:val="left"/>
      <w:pPr>
        <w:ind w:left="6844" w:hanging="420"/>
      </w:pPr>
      <w:rPr>
        <w:rFonts w:hint="default"/>
        <w:lang w:val="en-US" w:eastAsia="en-US" w:bidi="en-US"/>
      </w:rPr>
    </w:lvl>
    <w:lvl w:ilvl="8">
      <w:start w:val="0"/>
      <w:numFmt w:val="bullet"/>
      <w:lvlText w:val="•"/>
      <w:lvlJc w:val="left"/>
      <w:pPr>
        <w:ind w:left="7905" w:hanging="420"/>
      </w:pPr>
      <w:rPr>
        <w:rFonts w:hint="default"/>
        <w:lang w:val="en-US" w:eastAsia="en-US" w:bidi="en-US"/>
      </w:rPr>
    </w:lvl>
  </w:abstractNum>
  <w:abstractNum w:abstractNumId="28">
    <w:multiLevelType w:val="hybridMultilevel"/>
    <w:lvl w:ilvl="0">
      <w:start w:val="1"/>
      <w:numFmt w:val="lowerLetter"/>
      <w:lvlText w:val="%1）"/>
      <w:lvlJc w:val="left"/>
      <w:pPr>
        <w:ind w:left="1106"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1992" w:hanging="408"/>
      </w:pPr>
      <w:rPr>
        <w:rFonts w:hint="default"/>
        <w:lang w:val="en-US" w:eastAsia="en-US" w:bidi="en-US"/>
      </w:rPr>
    </w:lvl>
    <w:lvl w:ilvl="2">
      <w:start w:val="0"/>
      <w:numFmt w:val="bullet"/>
      <w:lvlText w:val="•"/>
      <w:lvlJc w:val="left"/>
      <w:pPr>
        <w:ind w:left="2885" w:hanging="408"/>
      </w:pPr>
      <w:rPr>
        <w:rFonts w:hint="default"/>
        <w:lang w:val="en-US" w:eastAsia="en-US" w:bidi="en-US"/>
      </w:rPr>
    </w:lvl>
    <w:lvl w:ilvl="3">
      <w:start w:val="0"/>
      <w:numFmt w:val="bullet"/>
      <w:lvlText w:val="•"/>
      <w:lvlJc w:val="left"/>
      <w:pPr>
        <w:ind w:left="3778" w:hanging="408"/>
      </w:pPr>
      <w:rPr>
        <w:rFonts w:hint="default"/>
        <w:lang w:val="en-US" w:eastAsia="en-US" w:bidi="en-US"/>
      </w:rPr>
    </w:lvl>
    <w:lvl w:ilvl="4">
      <w:start w:val="0"/>
      <w:numFmt w:val="bullet"/>
      <w:lvlText w:val="•"/>
      <w:lvlJc w:val="left"/>
      <w:pPr>
        <w:ind w:left="4670" w:hanging="408"/>
      </w:pPr>
      <w:rPr>
        <w:rFonts w:hint="default"/>
        <w:lang w:val="en-US" w:eastAsia="en-US" w:bidi="en-US"/>
      </w:rPr>
    </w:lvl>
    <w:lvl w:ilvl="5">
      <w:start w:val="0"/>
      <w:numFmt w:val="bullet"/>
      <w:lvlText w:val="•"/>
      <w:lvlJc w:val="left"/>
      <w:pPr>
        <w:ind w:left="5563" w:hanging="408"/>
      </w:pPr>
      <w:rPr>
        <w:rFonts w:hint="default"/>
        <w:lang w:val="en-US" w:eastAsia="en-US" w:bidi="en-US"/>
      </w:rPr>
    </w:lvl>
    <w:lvl w:ilvl="6">
      <w:start w:val="0"/>
      <w:numFmt w:val="bullet"/>
      <w:lvlText w:val="•"/>
      <w:lvlJc w:val="left"/>
      <w:pPr>
        <w:ind w:left="6456" w:hanging="408"/>
      </w:pPr>
      <w:rPr>
        <w:rFonts w:hint="default"/>
        <w:lang w:val="en-US" w:eastAsia="en-US" w:bidi="en-US"/>
      </w:rPr>
    </w:lvl>
    <w:lvl w:ilvl="7">
      <w:start w:val="0"/>
      <w:numFmt w:val="bullet"/>
      <w:lvlText w:val="•"/>
      <w:lvlJc w:val="left"/>
      <w:pPr>
        <w:ind w:left="7348" w:hanging="408"/>
      </w:pPr>
      <w:rPr>
        <w:rFonts w:hint="default"/>
        <w:lang w:val="en-US" w:eastAsia="en-US" w:bidi="en-US"/>
      </w:rPr>
    </w:lvl>
    <w:lvl w:ilvl="8">
      <w:start w:val="0"/>
      <w:numFmt w:val="bullet"/>
      <w:lvlText w:val="•"/>
      <w:lvlJc w:val="left"/>
      <w:pPr>
        <w:ind w:left="8241" w:hanging="408"/>
      </w:pPr>
      <w:rPr>
        <w:rFonts w:hint="default"/>
        <w:lang w:val="en-US" w:eastAsia="en-US" w:bidi="en-US"/>
      </w:rPr>
    </w:lvl>
  </w:abstractNum>
  <w:abstractNum w:abstractNumId="27">
    <w:multiLevelType w:val="hybridMultilevel"/>
    <w:lvl w:ilvl="0">
      <w:start w:val="1"/>
      <w:numFmt w:val="lowerLetter"/>
      <w:lvlText w:val="%1）"/>
      <w:lvlJc w:val="left"/>
      <w:pPr>
        <w:ind w:left="1106"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1992" w:hanging="408"/>
      </w:pPr>
      <w:rPr>
        <w:rFonts w:hint="default"/>
        <w:lang w:val="en-US" w:eastAsia="en-US" w:bidi="en-US"/>
      </w:rPr>
    </w:lvl>
    <w:lvl w:ilvl="2">
      <w:start w:val="0"/>
      <w:numFmt w:val="bullet"/>
      <w:lvlText w:val="•"/>
      <w:lvlJc w:val="left"/>
      <w:pPr>
        <w:ind w:left="2885" w:hanging="408"/>
      </w:pPr>
      <w:rPr>
        <w:rFonts w:hint="default"/>
        <w:lang w:val="en-US" w:eastAsia="en-US" w:bidi="en-US"/>
      </w:rPr>
    </w:lvl>
    <w:lvl w:ilvl="3">
      <w:start w:val="0"/>
      <w:numFmt w:val="bullet"/>
      <w:lvlText w:val="•"/>
      <w:lvlJc w:val="left"/>
      <w:pPr>
        <w:ind w:left="3778" w:hanging="408"/>
      </w:pPr>
      <w:rPr>
        <w:rFonts w:hint="default"/>
        <w:lang w:val="en-US" w:eastAsia="en-US" w:bidi="en-US"/>
      </w:rPr>
    </w:lvl>
    <w:lvl w:ilvl="4">
      <w:start w:val="0"/>
      <w:numFmt w:val="bullet"/>
      <w:lvlText w:val="•"/>
      <w:lvlJc w:val="left"/>
      <w:pPr>
        <w:ind w:left="4670" w:hanging="408"/>
      </w:pPr>
      <w:rPr>
        <w:rFonts w:hint="default"/>
        <w:lang w:val="en-US" w:eastAsia="en-US" w:bidi="en-US"/>
      </w:rPr>
    </w:lvl>
    <w:lvl w:ilvl="5">
      <w:start w:val="0"/>
      <w:numFmt w:val="bullet"/>
      <w:lvlText w:val="•"/>
      <w:lvlJc w:val="left"/>
      <w:pPr>
        <w:ind w:left="5563" w:hanging="408"/>
      </w:pPr>
      <w:rPr>
        <w:rFonts w:hint="default"/>
        <w:lang w:val="en-US" w:eastAsia="en-US" w:bidi="en-US"/>
      </w:rPr>
    </w:lvl>
    <w:lvl w:ilvl="6">
      <w:start w:val="0"/>
      <w:numFmt w:val="bullet"/>
      <w:lvlText w:val="•"/>
      <w:lvlJc w:val="left"/>
      <w:pPr>
        <w:ind w:left="6456" w:hanging="408"/>
      </w:pPr>
      <w:rPr>
        <w:rFonts w:hint="default"/>
        <w:lang w:val="en-US" w:eastAsia="en-US" w:bidi="en-US"/>
      </w:rPr>
    </w:lvl>
    <w:lvl w:ilvl="7">
      <w:start w:val="0"/>
      <w:numFmt w:val="bullet"/>
      <w:lvlText w:val="•"/>
      <w:lvlJc w:val="left"/>
      <w:pPr>
        <w:ind w:left="7348" w:hanging="408"/>
      </w:pPr>
      <w:rPr>
        <w:rFonts w:hint="default"/>
        <w:lang w:val="en-US" w:eastAsia="en-US" w:bidi="en-US"/>
      </w:rPr>
    </w:lvl>
    <w:lvl w:ilvl="8">
      <w:start w:val="0"/>
      <w:numFmt w:val="bullet"/>
      <w:lvlText w:val="•"/>
      <w:lvlJc w:val="left"/>
      <w:pPr>
        <w:ind w:left="8241" w:hanging="408"/>
      </w:pPr>
      <w:rPr>
        <w:rFonts w:hint="default"/>
        <w:lang w:val="en-US" w:eastAsia="en-US" w:bidi="en-US"/>
      </w:rPr>
    </w:lvl>
  </w:abstractNum>
  <w:abstractNum w:abstractNumId="26">
    <w:multiLevelType w:val="hybridMultilevel"/>
    <w:lvl w:ilvl="0">
      <w:start w:val="4"/>
      <w:numFmt w:val="lowerLetter"/>
      <w:lvlText w:val="%1）"/>
      <w:lvlJc w:val="left"/>
      <w:pPr>
        <w:ind w:left="1018" w:hanging="316"/>
        <w:jc w:val="left"/>
      </w:pPr>
      <w:rPr>
        <w:rFonts w:hint="default" w:ascii="Times New Roman" w:hAnsi="Times New Roman" w:eastAsia="Times New Roman" w:cs="Times New Roman"/>
        <w:spacing w:val="-1"/>
        <w:w w:val="99"/>
        <w:sz w:val="19"/>
        <w:szCs w:val="19"/>
        <w:lang w:val="en-US" w:eastAsia="en-US" w:bidi="en-US"/>
      </w:rPr>
    </w:lvl>
    <w:lvl w:ilvl="1">
      <w:start w:val="0"/>
      <w:numFmt w:val="bullet"/>
      <w:lvlText w:val="•"/>
      <w:lvlJc w:val="left"/>
      <w:pPr>
        <w:ind w:left="1920" w:hanging="316"/>
      </w:pPr>
      <w:rPr>
        <w:rFonts w:hint="default"/>
        <w:lang w:val="en-US" w:eastAsia="en-US" w:bidi="en-US"/>
      </w:rPr>
    </w:lvl>
    <w:lvl w:ilvl="2">
      <w:start w:val="0"/>
      <w:numFmt w:val="bullet"/>
      <w:lvlText w:val="•"/>
      <w:lvlJc w:val="left"/>
      <w:pPr>
        <w:ind w:left="2821" w:hanging="316"/>
      </w:pPr>
      <w:rPr>
        <w:rFonts w:hint="default"/>
        <w:lang w:val="en-US" w:eastAsia="en-US" w:bidi="en-US"/>
      </w:rPr>
    </w:lvl>
    <w:lvl w:ilvl="3">
      <w:start w:val="0"/>
      <w:numFmt w:val="bullet"/>
      <w:lvlText w:val="•"/>
      <w:lvlJc w:val="left"/>
      <w:pPr>
        <w:ind w:left="3722" w:hanging="316"/>
      </w:pPr>
      <w:rPr>
        <w:rFonts w:hint="default"/>
        <w:lang w:val="en-US" w:eastAsia="en-US" w:bidi="en-US"/>
      </w:rPr>
    </w:lvl>
    <w:lvl w:ilvl="4">
      <w:start w:val="0"/>
      <w:numFmt w:val="bullet"/>
      <w:lvlText w:val="•"/>
      <w:lvlJc w:val="left"/>
      <w:pPr>
        <w:ind w:left="4622" w:hanging="316"/>
      </w:pPr>
      <w:rPr>
        <w:rFonts w:hint="default"/>
        <w:lang w:val="en-US" w:eastAsia="en-US" w:bidi="en-US"/>
      </w:rPr>
    </w:lvl>
    <w:lvl w:ilvl="5">
      <w:start w:val="0"/>
      <w:numFmt w:val="bullet"/>
      <w:lvlText w:val="•"/>
      <w:lvlJc w:val="left"/>
      <w:pPr>
        <w:ind w:left="5523" w:hanging="316"/>
      </w:pPr>
      <w:rPr>
        <w:rFonts w:hint="default"/>
        <w:lang w:val="en-US" w:eastAsia="en-US" w:bidi="en-US"/>
      </w:rPr>
    </w:lvl>
    <w:lvl w:ilvl="6">
      <w:start w:val="0"/>
      <w:numFmt w:val="bullet"/>
      <w:lvlText w:val="•"/>
      <w:lvlJc w:val="left"/>
      <w:pPr>
        <w:ind w:left="6424" w:hanging="316"/>
      </w:pPr>
      <w:rPr>
        <w:rFonts w:hint="default"/>
        <w:lang w:val="en-US" w:eastAsia="en-US" w:bidi="en-US"/>
      </w:rPr>
    </w:lvl>
    <w:lvl w:ilvl="7">
      <w:start w:val="0"/>
      <w:numFmt w:val="bullet"/>
      <w:lvlText w:val="•"/>
      <w:lvlJc w:val="left"/>
      <w:pPr>
        <w:ind w:left="7324" w:hanging="316"/>
      </w:pPr>
      <w:rPr>
        <w:rFonts w:hint="default"/>
        <w:lang w:val="en-US" w:eastAsia="en-US" w:bidi="en-US"/>
      </w:rPr>
    </w:lvl>
    <w:lvl w:ilvl="8">
      <w:start w:val="0"/>
      <w:numFmt w:val="bullet"/>
      <w:lvlText w:val="•"/>
      <w:lvlJc w:val="left"/>
      <w:pPr>
        <w:ind w:left="8225" w:hanging="316"/>
      </w:pPr>
      <w:rPr>
        <w:rFonts w:hint="default"/>
        <w:lang w:val="en-US" w:eastAsia="en-US" w:bidi="en-US"/>
      </w:rPr>
    </w:lvl>
  </w:abstractNum>
  <w:abstractNum w:abstractNumId="25">
    <w:multiLevelType w:val="hybridMultilevel"/>
    <w:lvl w:ilvl="0">
      <w:start w:val="1"/>
      <w:numFmt w:val="lowerLetter"/>
      <w:lvlText w:val="%1）"/>
      <w:lvlJc w:val="left"/>
      <w:pPr>
        <w:ind w:left="1006" w:hanging="304"/>
        <w:jc w:val="left"/>
      </w:pPr>
      <w:rPr>
        <w:rFonts w:hint="default" w:ascii="Times New Roman" w:hAnsi="Times New Roman" w:eastAsia="Times New Roman" w:cs="Times New Roman"/>
        <w:spacing w:val="-1"/>
        <w:w w:val="99"/>
        <w:sz w:val="19"/>
        <w:szCs w:val="19"/>
        <w:lang w:val="en-US" w:eastAsia="en-US" w:bidi="en-US"/>
      </w:rPr>
    </w:lvl>
    <w:lvl w:ilvl="1">
      <w:start w:val="0"/>
      <w:numFmt w:val="bullet"/>
      <w:lvlText w:val="•"/>
      <w:lvlJc w:val="left"/>
      <w:pPr>
        <w:ind w:left="1902" w:hanging="304"/>
      </w:pPr>
      <w:rPr>
        <w:rFonts w:hint="default"/>
        <w:lang w:val="en-US" w:eastAsia="en-US" w:bidi="en-US"/>
      </w:rPr>
    </w:lvl>
    <w:lvl w:ilvl="2">
      <w:start w:val="0"/>
      <w:numFmt w:val="bullet"/>
      <w:lvlText w:val="•"/>
      <w:lvlJc w:val="left"/>
      <w:pPr>
        <w:ind w:left="2805" w:hanging="304"/>
      </w:pPr>
      <w:rPr>
        <w:rFonts w:hint="default"/>
        <w:lang w:val="en-US" w:eastAsia="en-US" w:bidi="en-US"/>
      </w:rPr>
    </w:lvl>
    <w:lvl w:ilvl="3">
      <w:start w:val="0"/>
      <w:numFmt w:val="bullet"/>
      <w:lvlText w:val="•"/>
      <w:lvlJc w:val="left"/>
      <w:pPr>
        <w:ind w:left="3708" w:hanging="304"/>
      </w:pPr>
      <w:rPr>
        <w:rFonts w:hint="default"/>
        <w:lang w:val="en-US" w:eastAsia="en-US" w:bidi="en-US"/>
      </w:rPr>
    </w:lvl>
    <w:lvl w:ilvl="4">
      <w:start w:val="0"/>
      <w:numFmt w:val="bullet"/>
      <w:lvlText w:val="•"/>
      <w:lvlJc w:val="left"/>
      <w:pPr>
        <w:ind w:left="4610" w:hanging="304"/>
      </w:pPr>
      <w:rPr>
        <w:rFonts w:hint="default"/>
        <w:lang w:val="en-US" w:eastAsia="en-US" w:bidi="en-US"/>
      </w:rPr>
    </w:lvl>
    <w:lvl w:ilvl="5">
      <w:start w:val="0"/>
      <w:numFmt w:val="bullet"/>
      <w:lvlText w:val="•"/>
      <w:lvlJc w:val="left"/>
      <w:pPr>
        <w:ind w:left="5513" w:hanging="304"/>
      </w:pPr>
      <w:rPr>
        <w:rFonts w:hint="default"/>
        <w:lang w:val="en-US" w:eastAsia="en-US" w:bidi="en-US"/>
      </w:rPr>
    </w:lvl>
    <w:lvl w:ilvl="6">
      <w:start w:val="0"/>
      <w:numFmt w:val="bullet"/>
      <w:lvlText w:val="•"/>
      <w:lvlJc w:val="left"/>
      <w:pPr>
        <w:ind w:left="6416" w:hanging="304"/>
      </w:pPr>
      <w:rPr>
        <w:rFonts w:hint="default"/>
        <w:lang w:val="en-US" w:eastAsia="en-US" w:bidi="en-US"/>
      </w:rPr>
    </w:lvl>
    <w:lvl w:ilvl="7">
      <w:start w:val="0"/>
      <w:numFmt w:val="bullet"/>
      <w:lvlText w:val="•"/>
      <w:lvlJc w:val="left"/>
      <w:pPr>
        <w:ind w:left="7318" w:hanging="304"/>
      </w:pPr>
      <w:rPr>
        <w:rFonts w:hint="default"/>
        <w:lang w:val="en-US" w:eastAsia="en-US" w:bidi="en-US"/>
      </w:rPr>
    </w:lvl>
    <w:lvl w:ilvl="8">
      <w:start w:val="0"/>
      <w:numFmt w:val="bullet"/>
      <w:lvlText w:val="•"/>
      <w:lvlJc w:val="left"/>
      <w:pPr>
        <w:ind w:left="8221" w:hanging="304"/>
      </w:pPr>
      <w:rPr>
        <w:rFonts w:hint="default"/>
        <w:lang w:val="en-US" w:eastAsia="en-US" w:bidi="en-US"/>
      </w:rPr>
    </w:lvl>
  </w:abstractNum>
  <w:abstractNum w:abstractNumId="24">
    <w:multiLevelType w:val="hybridMultilevel"/>
    <w:lvl w:ilvl="0">
      <w:start w:val="5"/>
      <w:numFmt w:val="lowerLetter"/>
      <w:lvlText w:val="%1）"/>
      <w:lvlJc w:val="left"/>
      <w:pPr>
        <w:ind w:left="1111"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2010" w:hanging="408"/>
      </w:pPr>
      <w:rPr>
        <w:rFonts w:hint="default"/>
        <w:lang w:val="en-US" w:eastAsia="en-US" w:bidi="en-US"/>
      </w:rPr>
    </w:lvl>
    <w:lvl w:ilvl="2">
      <w:start w:val="0"/>
      <w:numFmt w:val="bullet"/>
      <w:lvlText w:val="•"/>
      <w:lvlJc w:val="left"/>
      <w:pPr>
        <w:ind w:left="2901" w:hanging="408"/>
      </w:pPr>
      <w:rPr>
        <w:rFonts w:hint="default"/>
        <w:lang w:val="en-US" w:eastAsia="en-US" w:bidi="en-US"/>
      </w:rPr>
    </w:lvl>
    <w:lvl w:ilvl="3">
      <w:start w:val="0"/>
      <w:numFmt w:val="bullet"/>
      <w:lvlText w:val="•"/>
      <w:lvlJc w:val="left"/>
      <w:pPr>
        <w:ind w:left="3792" w:hanging="408"/>
      </w:pPr>
      <w:rPr>
        <w:rFonts w:hint="default"/>
        <w:lang w:val="en-US" w:eastAsia="en-US" w:bidi="en-US"/>
      </w:rPr>
    </w:lvl>
    <w:lvl w:ilvl="4">
      <w:start w:val="0"/>
      <w:numFmt w:val="bullet"/>
      <w:lvlText w:val="•"/>
      <w:lvlJc w:val="left"/>
      <w:pPr>
        <w:ind w:left="4682" w:hanging="408"/>
      </w:pPr>
      <w:rPr>
        <w:rFonts w:hint="default"/>
        <w:lang w:val="en-US" w:eastAsia="en-US" w:bidi="en-US"/>
      </w:rPr>
    </w:lvl>
    <w:lvl w:ilvl="5">
      <w:start w:val="0"/>
      <w:numFmt w:val="bullet"/>
      <w:lvlText w:val="•"/>
      <w:lvlJc w:val="left"/>
      <w:pPr>
        <w:ind w:left="5573" w:hanging="408"/>
      </w:pPr>
      <w:rPr>
        <w:rFonts w:hint="default"/>
        <w:lang w:val="en-US" w:eastAsia="en-US" w:bidi="en-US"/>
      </w:rPr>
    </w:lvl>
    <w:lvl w:ilvl="6">
      <w:start w:val="0"/>
      <w:numFmt w:val="bullet"/>
      <w:lvlText w:val="•"/>
      <w:lvlJc w:val="left"/>
      <w:pPr>
        <w:ind w:left="6464" w:hanging="408"/>
      </w:pPr>
      <w:rPr>
        <w:rFonts w:hint="default"/>
        <w:lang w:val="en-US" w:eastAsia="en-US" w:bidi="en-US"/>
      </w:rPr>
    </w:lvl>
    <w:lvl w:ilvl="7">
      <w:start w:val="0"/>
      <w:numFmt w:val="bullet"/>
      <w:lvlText w:val="•"/>
      <w:lvlJc w:val="left"/>
      <w:pPr>
        <w:ind w:left="7354" w:hanging="408"/>
      </w:pPr>
      <w:rPr>
        <w:rFonts w:hint="default"/>
        <w:lang w:val="en-US" w:eastAsia="en-US" w:bidi="en-US"/>
      </w:rPr>
    </w:lvl>
    <w:lvl w:ilvl="8">
      <w:start w:val="0"/>
      <w:numFmt w:val="bullet"/>
      <w:lvlText w:val="•"/>
      <w:lvlJc w:val="left"/>
      <w:pPr>
        <w:ind w:left="8245" w:hanging="408"/>
      </w:pPr>
      <w:rPr>
        <w:rFonts w:hint="default"/>
        <w:lang w:val="en-US" w:eastAsia="en-US" w:bidi="en-US"/>
      </w:rPr>
    </w:lvl>
  </w:abstractNum>
  <w:abstractNum w:abstractNumId="23">
    <w:multiLevelType w:val="hybridMultilevel"/>
    <w:lvl w:ilvl="0">
      <w:start w:val="6"/>
      <w:numFmt w:val="decimal"/>
      <w:lvlText w:val="%1"/>
      <w:lvlJc w:val="left"/>
      <w:pPr>
        <w:ind w:left="804" w:hanging="526"/>
        <w:jc w:val="left"/>
      </w:pPr>
      <w:rPr>
        <w:rFonts w:hint="default"/>
        <w:lang w:val="en-US" w:eastAsia="en-US" w:bidi="en-US"/>
      </w:rPr>
    </w:lvl>
    <w:lvl w:ilvl="1">
      <w:start w:val="2"/>
      <w:numFmt w:val="decimal"/>
      <w:lvlText w:val="%1.%2"/>
      <w:lvlJc w:val="left"/>
      <w:pPr>
        <w:ind w:left="804" w:hanging="526"/>
        <w:jc w:val="left"/>
      </w:pPr>
      <w:rPr>
        <w:rFonts w:hint="default" w:ascii="黑体" w:hAnsi="黑体" w:eastAsia="黑体" w:cs="黑体"/>
        <w:spacing w:val="0"/>
        <w:w w:val="99"/>
        <w:sz w:val="21"/>
        <w:szCs w:val="21"/>
        <w:lang w:val="en-US" w:eastAsia="en-US" w:bidi="en-US"/>
      </w:rPr>
    </w:lvl>
    <w:lvl w:ilvl="2">
      <w:start w:val="1"/>
      <w:numFmt w:val="decimal"/>
      <w:lvlText w:val="%1.%2.%3"/>
      <w:lvlJc w:val="left"/>
      <w:pPr>
        <w:ind w:left="1010" w:hanging="735"/>
        <w:jc w:val="left"/>
      </w:pPr>
      <w:rPr>
        <w:rFonts w:hint="default" w:ascii="黑体" w:hAnsi="黑体" w:eastAsia="黑体" w:cs="黑体"/>
        <w:spacing w:val="-2"/>
        <w:w w:val="99"/>
        <w:sz w:val="21"/>
        <w:szCs w:val="21"/>
        <w:lang w:val="en-US" w:eastAsia="en-US" w:bidi="en-US"/>
      </w:rPr>
    </w:lvl>
    <w:lvl w:ilvl="3">
      <w:start w:val="1"/>
      <w:numFmt w:val="lowerLetter"/>
      <w:lvlText w:val="%4）"/>
      <w:lvlJc w:val="left"/>
      <w:pPr>
        <w:ind w:left="1111" w:hanging="408"/>
        <w:jc w:val="left"/>
      </w:pPr>
      <w:rPr>
        <w:rFonts w:hint="default" w:ascii="Times New Roman" w:hAnsi="Times New Roman" w:eastAsia="Times New Roman" w:cs="Times New Roman"/>
        <w:w w:val="99"/>
        <w:sz w:val="21"/>
        <w:szCs w:val="21"/>
        <w:lang w:val="en-US" w:eastAsia="en-US" w:bidi="en-US"/>
      </w:rPr>
    </w:lvl>
    <w:lvl w:ilvl="4">
      <w:start w:val="0"/>
      <w:numFmt w:val="bullet"/>
      <w:lvlText w:val="•"/>
      <w:lvlJc w:val="left"/>
      <w:pPr>
        <w:ind w:left="2752" w:hanging="408"/>
      </w:pPr>
      <w:rPr>
        <w:rFonts w:hint="default"/>
        <w:lang w:val="en-US" w:eastAsia="en-US" w:bidi="en-US"/>
      </w:rPr>
    </w:lvl>
    <w:lvl w:ilvl="5">
      <w:start w:val="0"/>
      <w:numFmt w:val="bullet"/>
      <w:lvlText w:val="•"/>
      <w:lvlJc w:val="left"/>
      <w:pPr>
        <w:ind w:left="3964" w:hanging="408"/>
      </w:pPr>
      <w:rPr>
        <w:rFonts w:hint="default"/>
        <w:lang w:val="en-US" w:eastAsia="en-US" w:bidi="en-US"/>
      </w:rPr>
    </w:lvl>
    <w:lvl w:ilvl="6">
      <w:start w:val="0"/>
      <w:numFmt w:val="bullet"/>
      <w:lvlText w:val="•"/>
      <w:lvlJc w:val="left"/>
      <w:pPr>
        <w:ind w:left="5177" w:hanging="408"/>
      </w:pPr>
      <w:rPr>
        <w:rFonts w:hint="default"/>
        <w:lang w:val="en-US" w:eastAsia="en-US" w:bidi="en-US"/>
      </w:rPr>
    </w:lvl>
    <w:lvl w:ilvl="7">
      <w:start w:val="0"/>
      <w:numFmt w:val="bullet"/>
      <w:lvlText w:val="•"/>
      <w:lvlJc w:val="left"/>
      <w:pPr>
        <w:ind w:left="6389" w:hanging="408"/>
      </w:pPr>
      <w:rPr>
        <w:rFonts w:hint="default"/>
        <w:lang w:val="en-US" w:eastAsia="en-US" w:bidi="en-US"/>
      </w:rPr>
    </w:lvl>
    <w:lvl w:ilvl="8">
      <w:start w:val="0"/>
      <w:numFmt w:val="bullet"/>
      <w:lvlText w:val="•"/>
      <w:lvlJc w:val="left"/>
      <w:pPr>
        <w:ind w:left="7602" w:hanging="408"/>
      </w:pPr>
      <w:rPr>
        <w:rFonts w:hint="default"/>
        <w:lang w:val="en-US" w:eastAsia="en-US" w:bidi="en-US"/>
      </w:rPr>
    </w:lvl>
  </w:abstractNum>
  <w:abstractNum w:abstractNumId="22">
    <w:multiLevelType w:val="hybridMultilevel"/>
    <w:lvl w:ilvl="0">
      <w:start w:val="1"/>
      <w:numFmt w:val="decimal"/>
      <w:lvlText w:val="%1）"/>
      <w:lvlJc w:val="left"/>
      <w:pPr>
        <w:ind w:left="1302" w:hanging="316"/>
        <w:jc w:val="left"/>
      </w:pPr>
      <w:rPr>
        <w:rFonts w:hint="default" w:ascii="Times New Roman" w:hAnsi="Times New Roman" w:eastAsia="Times New Roman" w:cs="Times New Roman"/>
        <w:spacing w:val="-1"/>
        <w:w w:val="99"/>
        <w:sz w:val="19"/>
        <w:szCs w:val="19"/>
        <w:lang w:val="en-US" w:eastAsia="en-US" w:bidi="en-US"/>
      </w:rPr>
    </w:lvl>
    <w:lvl w:ilvl="1">
      <w:start w:val="0"/>
      <w:numFmt w:val="bullet"/>
      <w:lvlText w:val="•"/>
      <w:lvlJc w:val="left"/>
      <w:pPr>
        <w:ind w:left="2172" w:hanging="316"/>
      </w:pPr>
      <w:rPr>
        <w:rFonts w:hint="default"/>
        <w:lang w:val="en-US" w:eastAsia="en-US" w:bidi="en-US"/>
      </w:rPr>
    </w:lvl>
    <w:lvl w:ilvl="2">
      <w:start w:val="0"/>
      <w:numFmt w:val="bullet"/>
      <w:lvlText w:val="•"/>
      <w:lvlJc w:val="left"/>
      <w:pPr>
        <w:ind w:left="3045" w:hanging="316"/>
      </w:pPr>
      <w:rPr>
        <w:rFonts w:hint="default"/>
        <w:lang w:val="en-US" w:eastAsia="en-US" w:bidi="en-US"/>
      </w:rPr>
    </w:lvl>
    <w:lvl w:ilvl="3">
      <w:start w:val="0"/>
      <w:numFmt w:val="bullet"/>
      <w:lvlText w:val="•"/>
      <w:lvlJc w:val="left"/>
      <w:pPr>
        <w:ind w:left="3918" w:hanging="316"/>
      </w:pPr>
      <w:rPr>
        <w:rFonts w:hint="default"/>
        <w:lang w:val="en-US" w:eastAsia="en-US" w:bidi="en-US"/>
      </w:rPr>
    </w:lvl>
    <w:lvl w:ilvl="4">
      <w:start w:val="0"/>
      <w:numFmt w:val="bullet"/>
      <w:lvlText w:val="•"/>
      <w:lvlJc w:val="left"/>
      <w:pPr>
        <w:ind w:left="4790" w:hanging="316"/>
      </w:pPr>
      <w:rPr>
        <w:rFonts w:hint="default"/>
        <w:lang w:val="en-US" w:eastAsia="en-US" w:bidi="en-US"/>
      </w:rPr>
    </w:lvl>
    <w:lvl w:ilvl="5">
      <w:start w:val="0"/>
      <w:numFmt w:val="bullet"/>
      <w:lvlText w:val="•"/>
      <w:lvlJc w:val="left"/>
      <w:pPr>
        <w:ind w:left="5663" w:hanging="316"/>
      </w:pPr>
      <w:rPr>
        <w:rFonts w:hint="default"/>
        <w:lang w:val="en-US" w:eastAsia="en-US" w:bidi="en-US"/>
      </w:rPr>
    </w:lvl>
    <w:lvl w:ilvl="6">
      <w:start w:val="0"/>
      <w:numFmt w:val="bullet"/>
      <w:lvlText w:val="•"/>
      <w:lvlJc w:val="left"/>
      <w:pPr>
        <w:ind w:left="6536" w:hanging="316"/>
      </w:pPr>
      <w:rPr>
        <w:rFonts w:hint="default"/>
        <w:lang w:val="en-US" w:eastAsia="en-US" w:bidi="en-US"/>
      </w:rPr>
    </w:lvl>
    <w:lvl w:ilvl="7">
      <w:start w:val="0"/>
      <w:numFmt w:val="bullet"/>
      <w:lvlText w:val="•"/>
      <w:lvlJc w:val="left"/>
      <w:pPr>
        <w:ind w:left="7408" w:hanging="316"/>
      </w:pPr>
      <w:rPr>
        <w:rFonts w:hint="default"/>
        <w:lang w:val="en-US" w:eastAsia="en-US" w:bidi="en-US"/>
      </w:rPr>
    </w:lvl>
    <w:lvl w:ilvl="8">
      <w:start w:val="0"/>
      <w:numFmt w:val="bullet"/>
      <w:lvlText w:val="•"/>
      <w:lvlJc w:val="left"/>
      <w:pPr>
        <w:ind w:left="8281" w:hanging="316"/>
      </w:pPr>
      <w:rPr>
        <w:rFonts w:hint="default"/>
        <w:lang w:val="en-US" w:eastAsia="en-US" w:bidi="en-US"/>
      </w:rPr>
    </w:lvl>
  </w:abstractNum>
  <w:abstractNum w:abstractNumId="21">
    <w:multiLevelType w:val="hybridMultilevel"/>
    <w:lvl w:ilvl="0">
      <w:start w:val="2"/>
      <w:numFmt w:val="decimal"/>
      <w:lvlText w:val="%1）"/>
      <w:lvlJc w:val="left"/>
      <w:pPr>
        <w:ind w:left="1302" w:hanging="316"/>
        <w:jc w:val="left"/>
      </w:pPr>
      <w:rPr>
        <w:rFonts w:hint="default" w:ascii="Times New Roman" w:hAnsi="Times New Roman" w:eastAsia="Times New Roman" w:cs="Times New Roman"/>
        <w:spacing w:val="-1"/>
        <w:w w:val="99"/>
        <w:sz w:val="19"/>
        <w:szCs w:val="19"/>
        <w:lang w:val="en-US" w:eastAsia="en-US" w:bidi="en-US"/>
      </w:rPr>
    </w:lvl>
    <w:lvl w:ilvl="1">
      <w:start w:val="0"/>
      <w:numFmt w:val="bullet"/>
      <w:lvlText w:val="•"/>
      <w:lvlJc w:val="left"/>
      <w:pPr>
        <w:ind w:left="2172" w:hanging="316"/>
      </w:pPr>
      <w:rPr>
        <w:rFonts w:hint="default"/>
        <w:lang w:val="en-US" w:eastAsia="en-US" w:bidi="en-US"/>
      </w:rPr>
    </w:lvl>
    <w:lvl w:ilvl="2">
      <w:start w:val="0"/>
      <w:numFmt w:val="bullet"/>
      <w:lvlText w:val="•"/>
      <w:lvlJc w:val="left"/>
      <w:pPr>
        <w:ind w:left="3045" w:hanging="316"/>
      </w:pPr>
      <w:rPr>
        <w:rFonts w:hint="default"/>
        <w:lang w:val="en-US" w:eastAsia="en-US" w:bidi="en-US"/>
      </w:rPr>
    </w:lvl>
    <w:lvl w:ilvl="3">
      <w:start w:val="0"/>
      <w:numFmt w:val="bullet"/>
      <w:lvlText w:val="•"/>
      <w:lvlJc w:val="left"/>
      <w:pPr>
        <w:ind w:left="3918" w:hanging="316"/>
      </w:pPr>
      <w:rPr>
        <w:rFonts w:hint="default"/>
        <w:lang w:val="en-US" w:eastAsia="en-US" w:bidi="en-US"/>
      </w:rPr>
    </w:lvl>
    <w:lvl w:ilvl="4">
      <w:start w:val="0"/>
      <w:numFmt w:val="bullet"/>
      <w:lvlText w:val="•"/>
      <w:lvlJc w:val="left"/>
      <w:pPr>
        <w:ind w:left="4790" w:hanging="316"/>
      </w:pPr>
      <w:rPr>
        <w:rFonts w:hint="default"/>
        <w:lang w:val="en-US" w:eastAsia="en-US" w:bidi="en-US"/>
      </w:rPr>
    </w:lvl>
    <w:lvl w:ilvl="5">
      <w:start w:val="0"/>
      <w:numFmt w:val="bullet"/>
      <w:lvlText w:val="•"/>
      <w:lvlJc w:val="left"/>
      <w:pPr>
        <w:ind w:left="5663" w:hanging="316"/>
      </w:pPr>
      <w:rPr>
        <w:rFonts w:hint="default"/>
        <w:lang w:val="en-US" w:eastAsia="en-US" w:bidi="en-US"/>
      </w:rPr>
    </w:lvl>
    <w:lvl w:ilvl="6">
      <w:start w:val="0"/>
      <w:numFmt w:val="bullet"/>
      <w:lvlText w:val="•"/>
      <w:lvlJc w:val="left"/>
      <w:pPr>
        <w:ind w:left="6536" w:hanging="316"/>
      </w:pPr>
      <w:rPr>
        <w:rFonts w:hint="default"/>
        <w:lang w:val="en-US" w:eastAsia="en-US" w:bidi="en-US"/>
      </w:rPr>
    </w:lvl>
    <w:lvl w:ilvl="7">
      <w:start w:val="0"/>
      <w:numFmt w:val="bullet"/>
      <w:lvlText w:val="•"/>
      <w:lvlJc w:val="left"/>
      <w:pPr>
        <w:ind w:left="7408" w:hanging="316"/>
      </w:pPr>
      <w:rPr>
        <w:rFonts w:hint="default"/>
        <w:lang w:val="en-US" w:eastAsia="en-US" w:bidi="en-US"/>
      </w:rPr>
    </w:lvl>
    <w:lvl w:ilvl="8">
      <w:start w:val="0"/>
      <w:numFmt w:val="bullet"/>
      <w:lvlText w:val="•"/>
      <w:lvlJc w:val="left"/>
      <w:pPr>
        <w:ind w:left="8281" w:hanging="316"/>
      </w:pPr>
      <w:rPr>
        <w:rFonts w:hint="default"/>
        <w:lang w:val="en-US" w:eastAsia="en-US" w:bidi="en-US"/>
      </w:rPr>
    </w:lvl>
  </w:abstractNum>
  <w:abstractNum w:abstractNumId="20">
    <w:multiLevelType w:val="hybridMultilevel"/>
    <w:lvl w:ilvl="0">
      <w:start w:val="1"/>
      <w:numFmt w:val="lowerLetter"/>
      <w:lvlText w:val="%1）"/>
      <w:lvlJc w:val="left"/>
      <w:pPr>
        <w:ind w:left="1128"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2010" w:hanging="408"/>
      </w:pPr>
      <w:rPr>
        <w:rFonts w:hint="default"/>
        <w:lang w:val="en-US" w:eastAsia="en-US" w:bidi="en-US"/>
      </w:rPr>
    </w:lvl>
    <w:lvl w:ilvl="2">
      <w:start w:val="0"/>
      <w:numFmt w:val="bullet"/>
      <w:lvlText w:val="•"/>
      <w:lvlJc w:val="left"/>
      <w:pPr>
        <w:ind w:left="2901" w:hanging="408"/>
      </w:pPr>
      <w:rPr>
        <w:rFonts w:hint="default"/>
        <w:lang w:val="en-US" w:eastAsia="en-US" w:bidi="en-US"/>
      </w:rPr>
    </w:lvl>
    <w:lvl w:ilvl="3">
      <w:start w:val="0"/>
      <w:numFmt w:val="bullet"/>
      <w:lvlText w:val="•"/>
      <w:lvlJc w:val="left"/>
      <w:pPr>
        <w:ind w:left="3792" w:hanging="408"/>
      </w:pPr>
      <w:rPr>
        <w:rFonts w:hint="default"/>
        <w:lang w:val="en-US" w:eastAsia="en-US" w:bidi="en-US"/>
      </w:rPr>
    </w:lvl>
    <w:lvl w:ilvl="4">
      <w:start w:val="0"/>
      <w:numFmt w:val="bullet"/>
      <w:lvlText w:val="•"/>
      <w:lvlJc w:val="left"/>
      <w:pPr>
        <w:ind w:left="4682" w:hanging="408"/>
      </w:pPr>
      <w:rPr>
        <w:rFonts w:hint="default"/>
        <w:lang w:val="en-US" w:eastAsia="en-US" w:bidi="en-US"/>
      </w:rPr>
    </w:lvl>
    <w:lvl w:ilvl="5">
      <w:start w:val="0"/>
      <w:numFmt w:val="bullet"/>
      <w:lvlText w:val="•"/>
      <w:lvlJc w:val="left"/>
      <w:pPr>
        <w:ind w:left="5573" w:hanging="408"/>
      </w:pPr>
      <w:rPr>
        <w:rFonts w:hint="default"/>
        <w:lang w:val="en-US" w:eastAsia="en-US" w:bidi="en-US"/>
      </w:rPr>
    </w:lvl>
    <w:lvl w:ilvl="6">
      <w:start w:val="0"/>
      <w:numFmt w:val="bullet"/>
      <w:lvlText w:val="•"/>
      <w:lvlJc w:val="left"/>
      <w:pPr>
        <w:ind w:left="6464" w:hanging="408"/>
      </w:pPr>
      <w:rPr>
        <w:rFonts w:hint="default"/>
        <w:lang w:val="en-US" w:eastAsia="en-US" w:bidi="en-US"/>
      </w:rPr>
    </w:lvl>
    <w:lvl w:ilvl="7">
      <w:start w:val="0"/>
      <w:numFmt w:val="bullet"/>
      <w:lvlText w:val="•"/>
      <w:lvlJc w:val="left"/>
      <w:pPr>
        <w:ind w:left="7354" w:hanging="408"/>
      </w:pPr>
      <w:rPr>
        <w:rFonts w:hint="default"/>
        <w:lang w:val="en-US" w:eastAsia="en-US" w:bidi="en-US"/>
      </w:rPr>
    </w:lvl>
    <w:lvl w:ilvl="8">
      <w:start w:val="0"/>
      <w:numFmt w:val="bullet"/>
      <w:lvlText w:val="•"/>
      <w:lvlJc w:val="left"/>
      <w:pPr>
        <w:ind w:left="8245" w:hanging="408"/>
      </w:pPr>
      <w:rPr>
        <w:rFonts w:hint="default"/>
        <w:lang w:val="en-US" w:eastAsia="en-US" w:bidi="en-US"/>
      </w:rPr>
    </w:lvl>
  </w:abstractNum>
  <w:abstractNum w:abstractNumId="19">
    <w:multiLevelType w:val="hybridMultilevel"/>
    <w:lvl w:ilvl="0">
      <w:start w:val="1"/>
      <w:numFmt w:val="lowerLetter"/>
      <w:lvlText w:val="%1）"/>
      <w:lvlJc w:val="left"/>
      <w:pPr>
        <w:ind w:left="1128" w:hanging="408"/>
        <w:jc w:val="left"/>
      </w:pPr>
      <w:rPr>
        <w:rFonts w:hint="default" w:ascii="Times New Roman" w:hAnsi="Times New Roman" w:eastAsia="Times New Roman" w:cs="Times New Roman"/>
        <w:w w:val="99"/>
        <w:sz w:val="21"/>
        <w:szCs w:val="21"/>
        <w:lang w:val="en-US" w:eastAsia="en-US" w:bidi="en-US"/>
      </w:rPr>
    </w:lvl>
    <w:lvl w:ilvl="1">
      <w:start w:val="1"/>
      <w:numFmt w:val="decimal"/>
      <w:lvlText w:val="%2）"/>
      <w:lvlJc w:val="left"/>
      <w:pPr>
        <w:ind w:left="1441" w:hanging="316"/>
        <w:jc w:val="left"/>
      </w:pPr>
      <w:rPr>
        <w:rFonts w:hint="default" w:ascii="Times New Roman" w:hAnsi="Times New Roman" w:eastAsia="Times New Roman" w:cs="Times New Roman"/>
        <w:spacing w:val="-1"/>
        <w:w w:val="99"/>
        <w:sz w:val="19"/>
        <w:szCs w:val="19"/>
        <w:lang w:val="en-US" w:eastAsia="en-US" w:bidi="en-US"/>
      </w:rPr>
    </w:lvl>
    <w:lvl w:ilvl="2">
      <w:start w:val="0"/>
      <w:numFmt w:val="bullet"/>
      <w:lvlText w:val="•"/>
      <w:lvlJc w:val="left"/>
      <w:pPr>
        <w:ind w:left="2394" w:hanging="316"/>
      </w:pPr>
      <w:rPr>
        <w:rFonts w:hint="default"/>
        <w:lang w:val="en-US" w:eastAsia="en-US" w:bidi="en-US"/>
      </w:rPr>
    </w:lvl>
    <w:lvl w:ilvl="3">
      <w:start w:val="0"/>
      <w:numFmt w:val="bullet"/>
      <w:lvlText w:val="•"/>
      <w:lvlJc w:val="left"/>
      <w:pPr>
        <w:ind w:left="3348" w:hanging="316"/>
      </w:pPr>
      <w:rPr>
        <w:rFonts w:hint="default"/>
        <w:lang w:val="en-US" w:eastAsia="en-US" w:bidi="en-US"/>
      </w:rPr>
    </w:lvl>
    <w:lvl w:ilvl="4">
      <w:start w:val="0"/>
      <w:numFmt w:val="bullet"/>
      <w:lvlText w:val="•"/>
      <w:lvlJc w:val="left"/>
      <w:pPr>
        <w:ind w:left="4302" w:hanging="316"/>
      </w:pPr>
      <w:rPr>
        <w:rFonts w:hint="default"/>
        <w:lang w:val="en-US" w:eastAsia="en-US" w:bidi="en-US"/>
      </w:rPr>
    </w:lvl>
    <w:lvl w:ilvl="5">
      <w:start w:val="0"/>
      <w:numFmt w:val="bullet"/>
      <w:lvlText w:val="•"/>
      <w:lvlJc w:val="left"/>
      <w:pPr>
        <w:ind w:left="5256" w:hanging="316"/>
      </w:pPr>
      <w:rPr>
        <w:rFonts w:hint="default"/>
        <w:lang w:val="en-US" w:eastAsia="en-US" w:bidi="en-US"/>
      </w:rPr>
    </w:lvl>
    <w:lvl w:ilvl="6">
      <w:start w:val="0"/>
      <w:numFmt w:val="bullet"/>
      <w:lvlText w:val="•"/>
      <w:lvlJc w:val="left"/>
      <w:pPr>
        <w:ind w:left="6210" w:hanging="316"/>
      </w:pPr>
      <w:rPr>
        <w:rFonts w:hint="default"/>
        <w:lang w:val="en-US" w:eastAsia="en-US" w:bidi="en-US"/>
      </w:rPr>
    </w:lvl>
    <w:lvl w:ilvl="7">
      <w:start w:val="0"/>
      <w:numFmt w:val="bullet"/>
      <w:lvlText w:val="•"/>
      <w:lvlJc w:val="left"/>
      <w:pPr>
        <w:ind w:left="7164" w:hanging="316"/>
      </w:pPr>
      <w:rPr>
        <w:rFonts w:hint="default"/>
        <w:lang w:val="en-US" w:eastAsia="en-US" w:bidi="en-US"/>
      </w:rPr>
    </w:lvl>
    <w:lvl w:ilvl="8">
      <w:start w:val="0"/>
      <w:numFmt w:val="bullet"/>
      <w:lvlText w:val="•"/>
      <w:lvlJc w:val="left"/>
      <w:pPr>
        <w:ind w:left="8118" w:hanging="316"/>
      </w:pPr>
      <w:rPr>
        <w:rFonts w:hint="default"/>
        <w:lang w:val="en-US" w:eastAsia="en-US" w:bidi="en-US"/>
      </w:rPr>
    </w:lvl>
  </w:abstractNum>
  <w:abstractNum w:abstractNumId="18">
    <w:multiLevelType w:val="hybridMultilevel"/>
    <w:lvl w:ilvl="0">
      <w:start w:val="1"/>
      <w:numFmt w:val="decimal"/>
      <w:lvlText w:val="%1）"/>
      <w:lvlJc w:val="left"/>
      <w:pPr>
        <w:ind w:left="1550" w:hanging="420"/>
        <w:jc w:val="left"/>
      </w:pPr>
      <w:rPr>
        <w:rFonts w:hint="default" w:ascii="Times New Roman" w:hAnsi="Times New Roman" w:eastAsia="Times New Roman" w:cs="Times New Roman"/>
        <w:spacing w:val="0"/>
        <w:w w:val="99"/>
        <w:sz w:val="21"/>
        <w:szCs w:val="21"/>
        <w:lang w:val="en-US" w:eastAsia="en-US" w:bidi="en-US"/>
      </w:rPr>
    </w:lvl>
    <w:lvl w:ilvl="1">
      <w:start w:val="0"/>
      <w:numFmt w:val="bullet"/>
      <w:lvlText w:val="•"/>
      <w:lvlJc w:val="left"/>
      <w:pPr>
        <w:ind w:left="2406" w:hanging="420"/>
      </w:pPr>
      <w:rPr>
        <w:rFonts w:hint="default"/>
        <w:lang w:val="en-US" w:eastAsia="en-US" w:bidi="en-US"/>
      </w:rPr>
    </w:lvl>
    <w:lvl w:ilvl="2">
      <w:start w:val="0"/>
      <w:numFmt w:val="bullet"/>
      <w:lvlText w:val="•"/>
      <w:lvlJc w:val="left"/>
      <w:pPr>
        <w:ind w:left="3253" w:hanging="420"/>
      </w:pPr>
      <w:rPr>
        <w:rFonts w:hint="default"/>
        <w:lang w:val="en-US" w:eastAsia="en-US" w:bidi="en-US"/>
      </w:rPr>
    </w:lvl>
    <w:lvl w:ilvl="3">
      <w:start w:val="0"/>
      <w:numFmt w:val="bullet"/>
      <w:lvlText w:val="•"/>
      <w:lvlJc w:val="left"/>
      <w:pPr>
        <w:ind w:left="4100" w:hanging="420"/>
      </w:pPr>
      <w:rPr>
        <w:rFonts w:hint="default"/>
        <w:lang w:val="en-US" w:eastAsia="en-US" w:bidi="en-US"/>
      </w:rPr>
    </w:lvl>
    <w:lvl w:ilvl="4">
      <w:start w:val="0"/>
      <w:numFmt w:val="bullet"/>
      <w:lvlText w:val="•"/>
      <w:lvlJc w:val="left"/>
      <w:pPr>
        <w:ind w:left="4946" w:hanging="420"/>
      </w:pPr>
      <w:rPr>
        <w:rFonts w:hint="default"/>
        <w:lang w:val="en-US" w:eastAsia="en-US" w:bidi="en-US"/>
      </w:rPr>
    </w:lvl>
    <w:lvl w:ilvl="5">
      <w:start w:val="0"/>
      <w:numFmt w:val="bullet"/>
      <w:lvlText w:val="•"/>
      <w:lvlJc w:val="left"/>
      <w:pPr>
        <w:ind w:left="5793" w:hanging="420"/>
      </w:pPr>
      <w:rPr>
        <w:rFonts w:hint="default"/>
        <w:lang w:val="en-US" w:eastAsia="en-US" w:bidi="en-US"/>
      </w:rPr>
    </w:lvl>
    <w:lvl w:ilvl="6">
      <w:start w:val="0"/>
      <w:numFmt w:val="bullet"/>
      <w:lvlText w:val="•"/>
      <w:lvlJc w:val="left"/>
      <w:pPr>
        <w:ind w:left="6640" w:hanging="420"/>
      </w:pPr>
      <w:rPr>
        <w:rFonts w:hint="default"/>
        <w:lang w:val="en-US" w:eastAsia="en-US" w:bidi="en-US"/>
      </w:rPr>
    </w:lvl>
    <w:lvl w:ilvl="7">
      <w:start w:val="0"/>
      <w:numFmt w:val="bullet"/>
      <w:lvlText w:val="•"/>
      <w:lvlJc w:val="left"/>
      <w:pPr>
        <w:ind w:left="7486" w:hanging="420"/>
      </w:pPr>
      <w:rPr>
        <w:rFonts w:hint="default"/>
        <w:lang w:val="en-US" w:eastAsia="en-US" w:bidi="en-US"/>
      </w:rPr>
    </w:lvl>
    <w:lvl w:ilvl="8">
      <w:start w:val="0"/>
      <w:numFmt w:val="bullet"/>
      <w:lvlText w:val="•"/>
      <w:lvlJc w:val="left"/>
      <w:pPr>
        <w:ind w:left="8333" w:hanging="420"/>
      </w:pPr>
      <w:rPr>
        <w:rFonts w:hint="default"/>
        <w:lang w:val="en-US" w:eastAsia="en-US" w:bidi="en-US"/>
      </w:rPr>
    </w:lvl>
  </w:abstractNum>
  <w:abstractNum w:abstractNumId="17">
    <w:multiLevelType w:val="hybridMultilevel"/>
    <w:lvl w:ilvl="0">
      <w:start w:val="1"/>
      <w:numFmt w:val="decimal"/>
      <w:lvlText w:val="%1）"/>
      <w:lvlJc w:val="left"/>
      <w:pPr>
        <w:ind w:left="1516" w:hanging="392"/>
        <w:jc w:val="left"/>
      </w:pPr>
      <w:rPr>
        <w:rFonts w:hint="default" w:ascii="Times New Roman" w:hAnsi="Times New Roman" w:eastAsia="Times New Roman" w:cs="Times New Roman"/>
        <w:spacing w:val="0"/>
        <w:w w:val="99"/>
        <w:sz w:val="21"/>
        <w:szCs w:val="21"/>
        <w:lang w:val="en-US" w:eastAsia="en-US" w:bidi="en-US"/>
      </w:rPr>
    </w:lvl>
    <w:lvl w:ilvl="1">
      <w:start w:val="0"/>
      <w:numFmt w:val="bullet"/>
      <w:lvlText w:val="•"/>
      <w:lvlJc w:val="left"/>
      <w:pPr>
        <w:ind w:left="2370" w:hanging="392"/>
      </w:pPr>
      <w:rPr>
        <w:rFonts w:hint="default"/>
        <w:lang w:val="en-US" w:eastAsia="en-US" w:bidi="en-US"/>
      </w:rPr>
    </w:lvl>
    <w:lvl w:ilvl="2">
      <w:start w:val="0"/>
      <w:numFmt w:val="bullet"/>
      <w:lvlText w:val="•"/>
      <w:lvlJc w:val="left"/>
      <w:pPr>
        <w:ind w:left="3221" w:hanging="392"/>
      </w:pPr>
      <w:rPr>
        <w:rFonts w:hint="default"/>
        <w:lang w:val="en-US" w:eastAsia="en-US" w:bidi="en-US"/>
      </w:rPr>
    </w:lvl>
    <w:lvl w:ilvl="3">
      <w:start w:val="0"/>
      <w:numFmt w:val="bullet"/>
      <w:lvlText w:val="•"/>
      <w:lvlJc w:val="left"/>
      <w:pPr>
        <w:ind w:left="4072" w:hanging="392"/>
      </w:pPr>
      <w:rPr>
        <w:rFonts w:hint="default"/>
        <w:lang w:val="en-US" w:eastAsia="en-US" w:bidi="en-US"/>
      </w:rPr>
    </w:lvl>
    <w:lvl w:ilvl="4">
      <w:start w:val="0"/>
      <w:numFmt w:val="bullet"/>
      <w:lvlText w:val="•"/>
      <w:lvlJc w:val="left"/>
      <w:pPr>
        <w:ind w:left="4922" w:hanging="392"/>
      </w:pPr>
      <w:rPr>
        <w:rFonts w:hint="default"/>
        <w:lang w:val="en-US" w:eastAsia="en-US" w:bidi="en-US"/>
      </w:rPr>
    </w:lvl>
    <w:lvl w:ilvl="5">
      <w:start w:val="0"/>
      <w:numFmt w:val="bullet"/>
      <w:lvlText w:val="•"/>
      <w:lvlJc w:val="left"/>
      <w:pPr>
        <w:ind w:left="5773" w:hanging="392"/>
      </w:pPr>
      <w:rPr>
        <w:rFonts w:hint="default"/>
        <w:lang w:val="en-US" w:eastAsia="en-US" w:bidi="en-US"/>
      </w:rPr>
    </w:lvl>
    <w:lvl w:ilvl="6">
      <w:start w:val="0"/>
      <w:numFmt w:val="bullet"/>
      <w:lvlText w:val="•"/>
      <w:lvlJc w:val="left"/>
      <w:pPr>
        <w:ind w:left="6624" w:hanging="392"/>
      </w:pPr>
      <w:rPr>
        <w:rFonts w:hint="default"/>
        <w:lang w:val="en-US" w:eastAsia="en-US" w:bidi="en-US"/>
      </w:rPr>
    </w:lvl>
    <w:lvl w:ilvl="7">
      <w:start w:val="0"/>
      <w:numFmt w:val="bullet"/>
      <w:lvlText w:val="•"/>
      <w:lvlJc w:val="left"/>
      <w:pPr>
        <w:ind w:left="7474" w:hanging="392"/>
      </w:pPr>
      <w:rPr>
        <w:rFonts w:hint="default"/>
        <w:lang w:val="en-US" w:eastAsia="en-US" w:bidi="en-US"/>
      </w:rPr>
    </w:lvl>
    <w:lvl w:ilvl="8">
      <w:start w:val="0"/>
      <w:numFmt w:val="bullet"/>
      <w:lvlText w:val="•"/>
      <w:lvlJc w:val="left"/>
      <w:pPr>
        <w:ind w:left="8325" w:hanging="392"/>
      </w:pPr>
      <w:rPr>
        <w:rFonts w:hint="default"/>
        <w:lang w:val="en-US" w:eastAsia="en-US" w:bidi="en-US"/>
      </w:rPr>
    </w:lvl>
  </w:abstractNum>
  <w:abstractNum w:abstractNumId="16">
    <w:multiLevelType w:val="hybridMultilevel"/>
    <w:lvl w:ilvl="0">
      <w:start w:val="6"/>
      <w:numFmt w:val="decimal"/>
      <w:lvlText w:val="%1"/>
      <w:lvlJc w:val="left"/>
      <w:pPr>
        <w:ind w:left="1010" w:hanging="735"/>
        <w:jc w:val="left"/>
      </w:pPr>
      <w:rPr>
        <w:rFonts w:hint="default"/>
        <w:lang w:val="en-US" w:eastAsia="en-US" w:bidi="en-US"/>
      </w:rPr>
    </w:lvl>
    <w:lvl w:ilvl="1">
      <w:start w:val="1"/>
      <w:numFmt w:val="decimal"/>
      <w:lvlText w:val="%1.%2"/>
      <w:lvlJc w:val="left"/>
      <w:pPr>
        <w:ind w:left="1010" w:hanging="735"/>
        <w:jc w:val="left"/>
      </w:pPr>
      <w:rPr>
        <w:rFonts w:hint="default"/>
        <w:lang w:val="en-US" w:eastAsia="en-US" w:bidi="en-US"/>
      </w:rPr>
    </w:lvl>
    <w:lvl w:ilvl="2">
      <w:start w:val="1"/>
      <w:numFmt w:val="decimal"/>
      <w:lvlText w:val="%1.%2.%3"/>
      <w:lvlJc w:val="left"/>
      <w:pPr>
        <w:ind w:left="1010" w:hanging="735"/>
        <w:jc w:val="left"/>
      </w:pPr>
      <w:rPr>
        <w:rFonts w:hint="default" w:ascii="黑体" w:hAnsi="黑体" w:eastAsia="黑体" w:cs="黑体"/>
        <w:spacing w:val="-2"/>
        <w:w w:val="99"/>
        <w:sz w:val="21"/>
        <w:szCs w:val="21"/>
        <w:lang w:val="en-US" w:eastAsia="en-US" w:bidi="en-US"/>
      </w:rPr>
    </w:lvl>
    <w:lvl w:ilvl="3">
      <w:start w:val="1"/>
      <w:numFmt w:val="decimal"/>
      <w:lvlText w:val="%1.%2.%3.%4"/>
      <w:lvlJc w:val="left"/>
      <w:pPr>
        <w:ind w:left="1221" w:hanging="946"/>
        <w:jc w:val="left"/>
      </w:pPr>
      <w:rPr>
        <w:rFonts w:hint="default" w:ascii="黑体" w:hAnsi="黑体" w:eastAsia="黑体" w:cs="黑体"/>
        <w:spacing w:val="-2"/>
        <w:w w:val="99"/>
        <w:sz w:val="21"/>
        <w:szCs w:val="21"/>
        <w:lang w:val="en-US" w:eastAsia="en-US" w:bidi="en-US"/>
      </w:rPr>
    </w:lvl>
    <w:lvl w:ilvl="4">
      <w:start w:val="1"/>
      <w:numFmt w:val="lowerLetter"/>
      <w:lvlText w:val="%5）"/>
      <w:lvlJc w:val="left"/>
      <w:pPr>
        <w:ind w:left="1128" w:hanging="394"/>
        <w:jc w:val="left"/>
      </w:pPr>
      <w:rPr>
        <w:rFonts w:hint="default" w:ascii="Times New Roman" w:hAnsi="Times New Roman" w:eastAsia="Times New Roman" w:cs="Times New Roman"/>
        <w:w w:val="99"/>
        <w:sz w:val="21"/>
        <w:szCs w:val="21"/>
        <w:lang w:val="en-US" w:eastAsia="en-US" w:bidi="en-US"/>
      </w:rPr>
    </w:lvl>
    <w:lvl w:ilvl="5">
      <w:start w:val="1"/>
      <w:numFmt w:val="decimal"/>
      <w:lvlText w:val="%6）"/>
      <w:lvlJc w:val="left"/>
      <w:pPr>
        <w:ind w:left="1441" w:hanging="316"/>
        <w:jc w:val="left"/>
      </w:pPr>
      <w:rPr>
        <w:rFonts w:hint="default" w:ascii="Times New Roman" w:hAnsi="Times New Roman" w:eastAsia="Times New Roman" w:cs="Times New Roman"/>
        <w:spacing w:val="-1"/>
        <w:w w:val="99"/>
        <w:sz w:val="19"/>
        <w:szCs w:val="19"/>
        <w:lang w:val="en-US" w:eastAsia="en-US" w:bidi="en-US"/>
      </w:rPr>
    </w:lvl>
    <w:lvl w:ilvl="6">
      <w:start w:val="0"/>
      <w:numFmt w:val="bullet"/>
      <w:lvlText w:val="•"/>
      <w:lvlJc w:val="left"/>
      <w:pPr>
        <w:ind w:left="4302" w:hanging="316"/>
      </w:pPr>
      <w:rPr>
        <w:rFonts w:hint="default"/>
        <w:lang w:val="en-US" w:eastAsia="en-US" w:bidi="en-US"/>
      </w:rPr>
    </w:lvl>
    <w:lvl w:ilvl="7">
      <w:start w:val="0"/>
      <w:numFmt w:val="bullet"/>
      <w:lvlText w:val="•"/>
      <w:lvlJc w:val="left"/>
      <w:pPr>
        <w:ind w:left="5733" w:hanging="316"/>
      </w:pPr>
      <w:rPr>
        <w:rFonts w:hint="default"/>
        <w:lang w:val="en-US" w:eastAsia="en-US" w:bidi="en-US"/>
      </w:rPr>
    </w:lvl>
    <w:lvl w:ilvl="8">
      <w:start w:val="0"/>
      <w:numFmt w:val="bullet"/>
      <w:lvlText w:val="•"/>
      <w:lvlJc w:val="left"/>
      <w:pPr>
        <w:ind w:left="7164" w:hanging="316"/>
      </w:pPr>
      <w:rPr>
        <w:rFonts w:hint="default"/>
        <w:lang w:val="en-US" w:eastAsia="en-US" w:bidi="en-US"/>
      </w:rPr>
    </w:lvl>
  </w:abstractNum>
  <w:abstractNum w:abstractNumId="15">
    <w:multiLevelType w:val="hybridMultilevel"/>
    <w:lvl w:ilvl="0">
      <w:start w:val="2"/>
      <w:numFmt w:val="decimal"/>
      <w:lvlText w:val="%1）"/>
      <w:lvlJc w:val="left"/>
      <w:pPr>
        <w:ind w:left="1302" w:hanging="316"/>
        <w:jc w:val="left"/>
      </w:pPr>
      <w:rPr>
        <w:rFonts w:hint="default" w:ascii="Times New Roman" w:hAnsi="Times New Roman" w:eastAsia="Times New Roman" w:cs="Times New Roman"/>
        <w:spacing w:val="-1"/>
        <w:w w:val="99"/>
        <w:sz w:val="19"/>
        <w:szCs w:val="19"/>
        <w:lang w:val="en-US" w:eastAsia="en-US" w:bidi="en-US"/>
      </w:rPr>
    </w:lvl>
    <w:lvl w:ilvl="1">
      <w:start w:val="0"/>
      <w:numFmt w:val="bullet"/>
      <w:lvlText w:val="•"/>
      <w:lvlJc w:val="left"/>
      <w:pPr>
        <w:ind w:left="2172" w:hanging="316"/>
      </w:pPr>
      <w:rPr>
        <w:rFonts w:hint="default"/>
        <w:lang w:val="en-US" w:eastAsia="en-US" w:bidi="en-US"/>
      </w:rPr>
    </w:lvl>
    <w:lvl w:ilvl="2">
      <w:start w:val="0"/>
      <w:numFmt w:val="bullet"/>
      <w:lvlText w:val="•"/>
      <w:lvlJc w:val="left"/>
      <w:pPr>
        <w:ind w:left="3045" w:hanging="316"/>
      </w:pPr>
      <w:rPr>
        <w:rFonts w:hint="default"/>
        <w:lang w:val="en-US" w:eastAsia="en-US" w:bidi="en-US"/>
      </w:rPr>
    </w:lvl>
    <w:lvl w:ilvl="3">
      <w:start w:val="0"/>
      <w:numFmt w:val="bullet"/>
      <w:lvlText w:val="•"/>
      <w:lvlJc w:val="left"/>
      <w:pPr>
        <w:ind w:left="3918" w:hanging="316"/>
      </w:pPr>
      <w:rPr>
        <w:rFonts w:hint="default"/>
        <w:lang w:val="en-US" w:eastAsia="en-US" w:bidi="en-US"/>
      </w:rPr>
    </w:lvl>
    <w:lvl w:ilvl="4">
      <w:start w:val="0"/>
      <w:numFmt w:val="bullet"/>
      <w:lvlText w:val="•"/>
      <w:lvlJc w:val="left"/>
      <w:pPr>
        <w:ind w:left="4790" w:hanging="316"/>
      </w:pPr>
      <w:rPr>
        <w:rFonts w:hint="default"/>
        <w:lang w:val="en-US" w:eastAsia="en-US" w:bidi="en-US"/>
      </w:rPr>
    </w:lvl>
    <w:lvl w:ilvl="5">
      <w:start w:val="0"/>
      <w:numFmt w:val="bullet"/>
      <w:lvlText w:val="•"/>
      <w:lvlJc w:val="left"/>
      <w:pPr>
        <w:ind w:left="5663" w:hanging="316"/>
      </w:pPr>
      <w:rPr>
        <w:rFonts w:hint="default"/>
        <w:lang w:val="en-US" w:eastAsia="en-US" w:bidi="en-US"/>
      </w:rPr>
    </w:lvl>
    <w:lvl w:ilvl="6">
      <w:start w:val="0"/>
      <w:numFmt w:val="bullet"/>
      <w:lvlText w:val="•"/>
      <w:lvlJc w:val="left"/>
      <w:pPr>
        <w:ind w:left="6536" w:hanging="316"/>
      </w:pPr>
      <w:rPr>
        <w:rFonts w:hint="default"/>
        <w:lang w:val="en-US" w:eastAsia="en-US" w:bidi="en-US"/>
      </w:rPr>
    </w:lvl>
    <w:lvl w:ilvl="7">
      <w:start w:val="0"/>
      <w:numFmt w:val="bullet"/>
      <w:lvlText w:val="•"/>
      <w:lvlJc w:val="left"/>
      <w:pPr>
        <w:ind w:left="7408" w:hanging="316"/>
      </w:pPr>
      <w:rPr>
        <w:rFonts w:hint="default"/>
        <w:lang w:val="en-US" w:eastAsia="en-US" w:bidi="en-US"/>
      </w:rPr>
    </w:lvl>
    <w:lvl w:ilvl="8">
      <w:start w:val="0"/>
      <w:numFmt w:val="bullet"/>
      <w:lvlText w:val="•"/>
      <w:lvlJc w:val="left"/>
      <w:pPr>
        <w:ind w:left="8281" w:hanging="316"/>
      </w:pPr>
      <w:rPr>
        <w:rFonts w:hint="default"/>
        <w:lang w:val="en-US" w:eastAsia="en-US" w:bidi="en-US"/>
      </w:rPr>
    </w:lvl>
  </w:abstractNum>
  <w:abstractNum w:abstractNumId="14">
    <w:multiLevelType w:val="hybridMultilevel"/>
    <w:lvl w:ilvl="0">
      <w:start w:val="4"/>
      <w:numFmt w:val="lowerLetter"/>
      <w:lvlText w:val="%1）"/>
      <w:lvlJc w:val="left"/>
      <w:pPr>
        <w:ind w:left="1014" w:hanging="316"/>
        <w:jc w:val="left"/>
      </w:pPr>
      <w:rPr>
        <w:rFonts w:hint="default" w:ascii="Times New Roman" w:hAnsi="Times New Roman" w:eastAsia="Times New Roman" w:cs="Times New Roman"/>
        <w:spacing w:val="-1"/>
        <w:w w:val="99"/>
        <w:sz w:val="19"/>
        <w:szCs w:val="19"/>
        <w:lang w:val="en-US" w:eastAsia="en-US" w:bidi="en-US"/>
      </w:rPr>
    </w:lvl>
    <w:lvl w:ilvl="1">
      <w:start w:val="1"/>
      <w:numFmt w:val="decimal"/>
      <w:lvlText w:val="%2）"/>
      <w:lvlJc w:val="left"/>
      <w:pPr>
        <w:ind w:left="1302" w:hanging="316"/>
        <w:jc w:val="left"/>
      </w:pPr>
      <w:rPr>
        <w:rFonts w:hint="default" w:ascii="Times New Roman" w:hAnsi="Times New Roman" w:eastAsia="Times New Roman" w:cs="Times New Roman"/>
        <w:spacing w:val="-1"/>
        <w:w w:val="99"/>
        <w:sz w:val="19"/>
        <w:szCs w:val="19"/>
        <w:lang w:val="en-US" w:eastAsia="en-US" w:bidi="en-US"/>
      </w:rPr>
    </w:lvl>
    <w:lvl w:ilvl="2">
      <w:start w:val="0"/>
      <w:numFmt w:val="bullet"/>
      <w:lvlText w:val="•"/>
      <w:lvlJc w:val="left"/>
      <w:pPr>
        <w:ind w:left="2269" w:hanging="316"/>
      </w:pPr>
      <w:rPr>
        <w:rFonts w:hint="default"/>
        <w:lang w:val="en-US" w:eastAsia="en-US" w:bidi="en-US"/>
      </w:rPr>
    </w:lvl>
    <w:lvl w:ilvl="3">
      <w:start w:val="0"/>
      <w:numFmt w:val="bullet"/>
      <w:lvlText w:val="•"/>
      <w:lvlJc w:val="left"/>
      <w:pPr>
        <w:ind w:left="3239" w:hanging="316"/>
      </w:pPr>
      <w:rPr>
        <w:rFonts w:hint="default"/>
        <w:lang w:val="en-US" w:eastAsia="en-US" w:bidi="en-US"/>
      </w:rPr>
    </w:lvl>
    <w:lvl w:ilvl="4">
      <w:start w:val="0"/>
      <w:numFmt w:val="bullet"/>
      <w:lvlText w:val="•"/>
      <w:lvlJc w:val="left"/>
      <w:pPr>
        <w:ind w:left="4209" w:hanging="316"/>
      </w:pPr>
      <w:rPr>
        <w:rFonts w:hint="default"/>
        <w:lang w:val="en-US" w:eastAsia="en-US" w:bidi="en-US"/>
      </w:rPr>
    </w:lvl>
    <w:lvl w:ilvl="5">
      <w:start w:val="0"/>
      <w:numFmt w:val="bullet"/>
      <w:lvlText w:val="•"/>
      <w:lvlJc w:val="left"/>
      <w:pPr>
        <w:ind w:left="5178" w:hanging="316"/>
      </w:pPr>
      <w:rPr>
        <w:rFonts w:hint="default"/>
        <w:lang w:val="en-US" w:eastAsia="en-US" w:bidi="en-US"/>
      </w:rPr>
    </w:lvl>
    <w:lvl w:ilvl="6">
      <w:start w:val="0"/>
      <w:numFmt w:val="bullet"/>
      <w:lvlText w:val="•"/>
      <w:lvlJc w:val="left"/>
      <w:pPr>
        <w:ind w:left="6148" w:hanging="316"/>
      </w:pPr>
      <w:rPr>
        <w:rFonts w:hint="default"/>
        <w:lang w:val="en-US" w:eastAsia="en-US" w:bidi="en-US"/>
      </w:rPr>
    </w:lvl>
    <w:lvl w:ilvl="7">
      <w:start w:val="0"/>
      <w:numFmt w:val="bullet"/>
      <w:lvlText w:val="•"/>
      <w:lvlJc w:val="left"/>
      <w:pPr>
        <w:ind w:left="7118" w:hanging="316"/>
      </w:pPr>
      <w:rPr>
        <w:rFonts w:hint="default"/>
        <w:lang w:val="en-US" w:eastAsia="en-US" w:bidi="en-US"/>
      </w:rPr>
    </w:lvl>
    <w:lvl w:ilvl="8">
      <w:start w:val="0"/>
      <w:numFmt w:val="bullet"/>
      <w:lvlText w:val="•"/>
      <w:lvlJc w:val="left"/>
      <w:pPr>
        <w:ind w:left="8087" w:hanging="316"/>
      </w:pPr>
      <w:rPr>
        <w:rFonts w:hint="default"/>
        <w:lang w:val="en-US" w:eastAsia="en-US" w:bidi="en-US"/>
      </w:rPr>
    </w:lvl>
  </w:abstractNum>
  <w:abstractNum w:abstractNumId="13">
    <w:multiLevelType w:val="hybridMultilevel"/>
    <w:lvl w:ilvl="0">
      <w:start w:val="1"/>
      <w:numFmt w:val="lowerLetter"/>
      <w:lvlText w:val="%1）"/>
      <w:lvlJc w:val="left"/>
      <w:pPr>
        <w:ind w:left="1002" w:hanging="304"/>
        <w:jc w:val="left"/>
      </w:pPr>
      <w:rPr>
        <w:rFonts w:hint="default" w:ascii="Times New Roman" w:hAnsi="Times New Roman" w:eastAsia="Times New Roman" w:cs="Times New Roman"/>
        <w:spacing w:val="-1"/>
        <w:w w:val="99"/>
        <w:sz w:val="19"/>
        <w:szCs w:val="19"/>
        <w:lang w:val="en-US" w:eastAsia="en-US" w:bidi="en-US"/>
      </w:rPr>
    </w:lvl>
    <w:lvl w:ilvl="1">
      <w:start w:val="0"/>
      <w:numFmt w:val="bullet"/>
      <w:lvlText w:val="•"/>
      <w:lvlJc w:val="left"/>
      <w:pPr>
        <w:ind w:left="1902" w:hanging="304"/>
      </w:pPr>
      <w:rPr>
        <w:rFonts w:hint="default"/>
        <w:lang w:val="en-US" w:eastAsia="en-US" w:bidi="en-US"/>
      </w:rPr>
    </w:lvl>
    <w:lvl w:ilvl="2">
      <w:start w:val="0"/>
      <w:numFmt w:val="bullet"/>
      <w:lvlText w:val="•"/>
      <w:lvlJc w:val="left"/>
      <w:pPr>
        <w:ind w:left="2805" w:hanging="304"/>
      </w:pPr>
      <w:rPr>
        <w:rFonts w:hint="default"/>
        <w:lang w:val="en-US" w:eastAsia="en-US" w:bidi="en-US"/>
      </w:rPr>
    </w:lvl>
    <w:lvl w:ilvl="3">
      <w:start w:val="0"/>
      <w:numFmt w:val="bullet"/>
      <w:lvlText w:val="•"/>
      <w:lvlJc w:val="left"/>
      <w:pPr>
        <w:ind w:left="3708" w:hanging="304"/>
      </w:pPr>
      <w:rPr>
        <w:rFonts w:hint="default"/>
        <w:lang w:val="en-US" w:eastAsia="en-US" w:bidi="en-US"/>
      </w:rPr>
    </w:lvl>
    <w:lvl w:ilvl="4">
      <w:start w:val="0"/>
      <w:numFmt w:val="bullet"/>
      <w:lvlText w:val="•"/>
      <w:lvlJc w:val="left"/>
      <w:pPr>
        <w:ind w:left="4610" w:hanging="304"/>
      </w:pPr>
      <w:rPr>
        <w:rFonts w:hint="default"/>
        <w:lang w:val="en-US" w:eastAsia="en-US" w:bidi="en-US"/>
      </w:rPr>
    </w:lvl>
    <w:lvl w:ilvl="5">
      <w:start w:val="0"/>
      <w:numFmt w:val="bullet"/>
      <w:lvlText w:val="•"/>
      <w:lvlJc w:val="left"/>
      <w:pPr>
        <w:ind w:left="5513" w:hanging="304"/>
      </w:pPr>
      <w:rPr>
        <w:rFonts w:hint="default"/>
        <w:lang w:val="en-US" w:eastAsia="en-US" w:bidi="en-US"/>
      </w:rPr>
    </w:lvl>
    <w:lvl w:ilvl="6">
      <w:start w:val="0"/>
      <w:numFmt w:val="bullet"/>
      <w:lvlText w:val="•"/>
      <w:lvlJc w:val="left"/>
      <w:pPr>
        <w:ind w:left="6416" w:hanging="304"/>
      </w:pPr>
      <w:rPr>
        <w:rFonts w:hint="default"/>
        <w:lang w:val="en-US" w:eastAsia="en-US" w:bidi="en-US"/>
      </w:rPr>
    </w:lvl>
    <w:lvl w:ilvl="7">
      <w:start w:val="0"/>
      <w:numFmt w:val="bullet"/>
      <w:lvlText w:val="•"/>
      <w:lvlJc w:val="left"/>
      <w:pPr>
        <w:ind w:left="7318" w:hanging="304"/>
      </w:pPr>
      <w:rPr>
        <w:rFonts w:hint="default"/>
        <w:lang w:val="en-US" w:eastAsia="en-US" w:bidi="en-US"/>
      </w:rPr>
    </w:lvl>
    <w:lvl w:ilvl="8">
      <w:start w:val="0"/>
      <w:numFmt w:val="bullet"/>
      <w:lvlText w:val="•"/>
      <w:lvlJc w:val="left"/>
      <w:pPr>
        <w:ind w:left="8221" w:hanging="304"/>
      </w:pPr>
      <w:rPr>
        <w:rFonts w:hint="default"/>
        <w:lang w:val="en-US" w:eastAsia="en-US" w:bidi="en-US"/>
      </w:rPr>
    </w:lvl>
  </w:abstractNum>
  <w:abstractNum w:abstractNumId="12">
    <w:multiLevelType w:val="hybridMultilevel"/>
    <w:lvl w:ilvl="0">
      <w:start w:val="1"/>
      <w:numFmt w:val="lowerLetter"/>
      <w:lvlText w:val="%1）"/>
      <w:lvlJc w:val="left"/>
      <w:pPr>
        <w:ind w:left="1128" w:hanging="408"/>
        <w:jc w:val="left"/>
      </w:pPr>
      <w:rPr>
        <w:rFonts w:hint="default" w:ascii="Times New Roman" w:hAnsi="Times New Roman" w:eastAsia="Times New Roman" w:cs="Times New Roman"/>
        <w:w w:val="99"/>
        <w:sz w:val="21"/>
        <w:szCs w:val="21"/>
        <w:lang w:val="en-US" w:eastAsia="en-US" w:bidi="en-US"/>
      </w:rPr>
    </w:lvl>
    <w:lvl w:ilvl="1">
      <w:start w:val="0"/>
      <w:numFmt w:val="bullet"/>
      <w:lvlText w:val="•"/>
      <w:lvlJc w:val="left"/>
      <w:pPr>
        <w:ind w:left="2010" w:hanging="408"/>
      </w:pPr>
      <w:rPr>
        <w:rFonts w:hint="default"/>
        <w:lang w:val="en-US" w:eastAsia="en-US" w:bidi="en-US"/>
      </w:rPr>
    </w:lvl>
    <w:lvl w:ilvl="2">
      <w:start w:val="0"/>
      <w:numFmt w:val="bullet"/>
      <w:lvlText w:val="•"/>
      <w:lvlJc w:val="left"/>
      <w:pPr>
        <w:ind w:left="2901" w:hanging="408"/>
      </w:pPr>
      <w:rPr>
        <w:rFonts w:hint="default"/>
        <w:lang w:val="en-US" w:eastAsia="en-US" w:bidi="en-US"/>
      </w:rPr>
    </w:lvl>
    <w:lvl w:ilvl="3">
      <w:start w:val="0"/>
      <w:numFmt w:val="bullet"/>
      <w:lvlText w:val="•"/>
      <w:lvlJc w:val="left"/>
      <w:pPr>
        <w:ind w:left="3792" w:hanging="408"/>
      </w:pPr>
      <w:rPr>
        <w:rFonts w:hint="default"/>
        <w:lang w:val="en-US" w:eastAsia="en-US" w:bidi="en-US"/>
      </w:rPr>
    </w:lvl>
    <w:lvl w:ilvl="4">
      <w:start w:val="0"/>
      <w:numFmt w:val="bullet"/>
      <w:lvlText w:val="•"/>
      <w:lvlJc w:val="left"/>
      <w:pPr>
        <w:ind w:left="4682" w:hanging="408"/>
      </w:pPr>
      <w:rPr>
        <w:rFonts w:hint="default"/>
        <w:lang w:val="en-US" w:eastAsia="en-US" w:bidi="en-US"/>
      </w:rPr>
    </w:lvl>
    <w:lvl w:ilvl="5">
      <w:start w:val="0"/>
      <w:numFmt w:val="bullet"/>
      <w:lvlText w:val="•"/>
      <w:lvlJc w:val="left"/>
      <w:pPr>
        <w:ind w:left="5573" w:hanging="408"/>
      </w:pPr>
      <w:rPr>
        <w:rFonts w:hint="default"/>
        <w:lang w:val="en-US" w:eastAsia="en-US" w:bidi="en-US"/>
      </w:rPr>
    </w:lvl>
    <w:lvl w:ilvl="6">
      <w:start w:val="0"/>
      <w:numFmt w:val="bullet"/>
      <w:lvlText w:val="•"/>
      <w:lvlJc w:val="left"/>
      <w:pPr>
        <w:ind w:left="6464" w:hanging="408"/>
      </w:pPr>
      <w:rPr>
        <w:rFonts w:hint="default"/>
        <w:lang w:val="en-US" w:eastAsia="en-US" w:bidi="en-US"/>
      </w:rPr>
    </w:lvl>
    <w:lvl w:ilvl="7">
      <w:start w:val="0"/>
      <w:numFmt w:val="bullet"/>
      <w:lvlText w:val="•"/>
      <w:lvlJc w:val="left"/>
      <w:pPr>
        <w:ind w:left="7354" w:hanging="408"/>
      </w:pPr>
      <w:rPr>
        <w:rFonts w:hint="default"/>
        <w:lang w:val="en-US" w:eastAsia="en-US" w:bidi="en-US"/>
      </w:rPr>
    </w:lvl>
    <w:lvl w:ilvl="8">
      <w:start w:val="0"/>
      <w:numFmt w:val="bullet"/>
      <w:lvlText w:val="•"/>
      <w:lvlJc w:val="left"/>
      <w:pPr>
        <w:ind w:left="8245" w:hanging="408"/>
      </w:pPr>
      <w:rPr>
        <w:rFonts w:hint="default"/>
        <w:lang w:val="en-US" w:eastAsia="en-US" w:bidi="en-US"/>
      </w:rPr>
    </w:lvl>
  </w:abstractNum>
  <w:abstractNum w:abstractNumId="11">
    <w:multiLevelType w:val="hybridMultilevel"/>
    <w:lvl w:ilvl="0">
      <w:start w:val="4"/>
      <w:numFmt w:val="lowerLetter"/>
      <w:lvlText w:val="%1）"/>
      <w:lvlJc w:val="left"/>
      <w:pPr>
        <w:ind w:left="1018" w:hanging="316"/>
        <w:jc w:val="left"/>
      </w:pPr>
      <w:rPr>
        <w:rFonts w:hint="default" w:ascii="Times New Roman" w:hAnsi="Times New Roman" w:eastAsia="Times New Roman" w:cs="Times New Roman"/>
        <w:spacing w:val="-1"/>
        <w:w w:val="99"/>
        <w:sz w:val="19"/>
        <w:szCs w:val="19"/>
        <w:lang w:val="en-US" w:eastAsia="en-US" w:bidi="en-US"/>
      </w:rPr>
    </w:lvl>
    <w:lvl w:ilvl="1">
      <w:start w:val="0"/>
      <w:numFmt w:val="bullet"/>
      <w:lvlText w:val="•"/>
      <w:lvlJc w:val="left"/>
      <w:pPr>
        <w:ind w:left="1920" w:hanging="316"/>
      </w:pPr>
      <w:rPr>
        <w:rFonts w:hint="default"/>
        <w:lang w:val="en-US" w:eastAsia="en-US" w:bidi="en-US"/>
      </w:rPr>
    </w:lvl>
    <w:lvl w:ilvl="2">
      <w:start w:val="0"/>
      <w:numFmt w:val="bullet"/>
      <w:lvlText w:val="•"/>
      <w:lvlJc w:val="left"/>
      <w:pPr>
        <w:ind w:left="2821" w:hanging="316"/>
      </w:pPr>
      <w:rPr>
        <w:rFonts w:hint="default"/>
        <w:lang w:val="en-US" w:eastAsia="en-US" w:bidi="en-US"/>
      </w:rPr>
    </w:lvl>
    <w:lvl w:ilvl="3">
      <w:start w:val="0"/>
      <w:numFmt w:val="bullet"/>
      <w:lvlText w:val="•"/>
      <w:lvlJc w:val="left"/>
      <w:pPr>
        <w:ind w:left="3722" w:hanging="316"/>
      </w:pPr>
      <w:rPr>
        <w:rFonts w:hint="default"/>
        <w:lang w:val="en-US" w:eastAsia="en-US" w:bidi="en-US"/>
      </w:rPr>
    </w:lvl>
    <w:lvl w:ilvl="4">
      <w:start w:val="0"/>
      <w:numFmt w:val="bullet"/>
      <w:lvlText w:val="•"/>
      <w:lvlJc w:val="left"/>
      <w:pPr>
        <w:ind w:left="4622" w:hanging="316"/>
      </w:pPr>
      <w:rPr>
        <w:rFonts w:hint="default"/>
        <w:lang w:val="en-US" w:eastAsia="en-US" w:bidi="en-US"/>
      </w:rPr>
    </w:lvl>
    <w:lvl w:ilvl="5">
      <w:start w:val="0"/>
      <w:numFmt w:val="bullet"/>
      <w:lvlText w:val="•"/>
      <w:lvlJc w:val="left"/>
      <w:pPr>
        <w:ind w:left="5523" w:hanging="316"/>
      </w:pPr>
      <w:rPr>
        <w:rFonts w:hint="default"/>
        <w:lang w:val="en-US" w:eastAsia="en-US" w:bidi="en-US"/>
      </w:rPr>
    </w:lvl>
    <w:lvl w:ilvl="6">
      <w:start w:val="0"/>
      <w:numFmt w:val="bullet"/>
      <w:lvlText w:val="•"/>
      <w:lvlJc w:val="left"/>
      <w:pPr>
        <w:ind w:left="6424" w:hanging="316"/>
      </w:pPr>
      <w:rPr>
        <w:rFonts w:hint="default"/>
        <w:lang w:val="en-US" w:eastAsia="en-US" w:bidi="en-US"/>
      </w:rPr>
    </w:lvl>
    <w:lvl w:ilvl="7">
      <w:start w:val="0"/>
      <w:numFmt w:val="bullet"/>
      <w:lvlText w:val="•"/>
      <w:lvlJc w:val="left"/>
      <w:pPr>
        <w:ind w:left="7324" w:hanging="316"/>
      </w:pPr>
      <w:rPr>
        <w:rFonts w:hint="default"/>
        <w:lang w:val="en-US" w:eastAsia="en-US" w:bidi="en-US"/>
      </w:rPr>
    </w:lvl>
    <w:lvl w:ilvl="8">
      <w:start w:val="0"/>
      <w:numFmt w:val="bullet"/>
      <w:lvlText w:val="•"/>
      <w:lvlJc w:val="left"/>
      <w:pPr>
        <w:ind w:left="8225" w:hanging="316"/>
      </w:pPr>
      <w:rPr>
        <w:rFonts w:hint="default"/>
        <w:lang w:val="en-US" w:eastAsia="en-US" w:bidi="en-US"/>
      </w:rPr>
    </w:lvl>
  </w:abstractNum>
  <w:abstractNum w:abstractNumId="10">
    <w:multiLevelType w:val="hybridMultilevel"/>
    <w:lvl w:ilvl="0">
      <w:start w:val="1"/>
      <w:numFmt w:val="decimal"/>
      <w:lvlText w:val="%1"/>
      <w:lvlJc w:val="left"/>
      <w:pPr>
        <w:ind w:left="592" w:hanging="315"/>
        <w:jc w:val="left"/>
      </w:pPr>
      <w:rPr>
        <w:rFonts w:hint="default" w:ascii="黑体" w:hAnsi="黑体" w:eastAsia="黑体" w:cs="黑体"/>
        <w:w w:val="99"/>
        <w:sz w:val="21"/>
        <w:szCs w:val="21"/>
        <w:lang w:val="en-US" w:eastAsia="en-US" w:bidi="en-US"/>
      </w:rPr>
    </w:lvl>
    <w:lvl w:ilvl="1">
      <w:start w:val="1"/>
      <w:numFmt w:val="decimal"/>
      <w:lvlText w:val="%1.%2"/>
      <w:lvlJc w:val="left"/>
      <w:pPr>
        <w:ind w:left="595" w:hanging="317"/>
        <w:jc w:val="left"/>
      </w:pPr>
      <w:rPr>
        <w:rFonts w:hint="default" w:ascii="黑体" w:hAnsi="黑体" w:eastAsia="黑体" w:cs="黑体"/>
        <w:spacing w:val="0"/>
        <w:w w:val="99"/>
        <w:sz w:val="19"/>
        <w:szCs w:val="19"/>
        <w:lang w:val="en-US" w:eastAsia="en-US" w:bidi="en-US"/>
      </w:rPr>
    </w:lvl>
    <w:lvl w:ilvl="2">
      <w:start w:val="1"/>
      <w:numFmt w:val="lowerLetter"/>
      <w:lvlText w:val="%3）"/>
      <w:lvlJc w:val="left"/>
      <w:pPr>
        <w:ind w:left="1002" w:hanging="304"/>
        <w:jc w:val="left"/>
      </w:pPr>
      <w:rPr>
        <w:rFonts w:hint="default" w:ascii="Times New Roman" w:hAnsi="Times New Roman" w:eastAsia="Times New Roman" w:cs="Times New Roman"/>
        <w:spacing w:val="-1"/>
        <w:w w:val="99"/>
        <w:sz w:val="19"/>
        <w:szCs w:val="19"/>
        <w:lang w:val="en-US" w:eastAsia="en-US" w:bidi="en-US"/>
      </w:rPr>
    </w:lvl>
    <w:lvl w:ilvl="3">
      <w:start w:val="0"/>
      <w:numFmt w:val="bullet"/>
      <w:lvlText w:val="•"/>
      <w:lvlJc w:val="left"/>
      <w:pPr>
        <w:ind w:left="900" w:hanging="304"/>
      </w:pPr>
      <w:rPr>
        <w:rFonts w:hint="default"/>
        <w:lang w:val="en-US" w:eastAsia="en-US" w:bidi="en-US"/>
      </w:rPr>
    </w:lvl>
    <w:lvl w:ilvl="4">
      <w:start w:val="0"/>
      <w:numFmt w:val="bullet"/>
      <w:lvlText w:val="•"/>
      <w:lvlJc w:val="left"/>
      <w:pPr>
        <w:ind w:left="980" w:hanging="304"/>
      </w:pPr>
      <w:rPr>
        <w:rFonts w:hint="default"/>
        <w:lang w:val="en-US" w:eastAsia="en-US" w:bidi="en-US"/>
      </w:rPr>
    </w:lvl>
    <w:lvl w:ilvl="5">
      <w:start w:val="0"/>
      <w:numFmt w:val="bullet"/>
      <w:lvlText w:val="•"/>
      <w:lvlJc w:val="left"/>
      <w:pPr>
        <w:ind w:left="1000" w:hanging="304"/>
      </w:pPr>
      <w:rPr>
        <w:rFonts w:hint="default"/>
        <w:lang w:val="en-US" w:eastAsia="en-US" w:bidi="en-US"/>
      </w:rPr>
    </w:lvl>
    <w:lvl w:ilvl="6">
      <w:start w:val="0"/>
      <w:numFmt w:val="bullet"/>
      <w:lvlText w:val="•"/>
      <w:lvlJc w:val="left"/>
      <w:pPr>
        <w:ind w:left="2805" w:hanging="304"/>
      </w:pPr>
      <w:rPr>
        <w:rFonts w:hint="default"/>
        <w:lang w:val="en-US" w:eastAsia="en-US" w:bidi="en-US"/>
      </w:rPr>
    </w:lvl>
    <w:lvl w:ilvl="7">
      <w:start w:val="0"/>
      <w:numFmt w:val="bullet"/>
      <w:lvlText w:val="•"/>
      <w:lvlJc w:val="left"/>
      <w:pPr>
        <w:ind w:left="4610" w:hanging="304"/>
      </w:pPr>
      <w:rPr>
        <w:rFonts w:hint="default"/>
        <w:lang w:val="en-US" w:eastAsia="en-US" w:bidi="en-US"/>
      </w:rPr>
    </w:lvl>
    <w:lvl w:ilvl="8">
      <w:start w:val="0"/>
      <w:numFmt w:val="bullet"/>
      <w:lvlText w:val="•"/>
      <w:lvlJc w:val="left"/>
      <w:pPr>
        <w:ind w:left="6416" w:hanging="304"/>
      </w:pPr>
      <w:rPr>
        <w:rFonts w:hint="default"/>
        <w:lang w:val="en-US" w:eastAsia="en-US" w:bidi="en-US"/>
      </w:rPr>
    </w:lvl>
  </w:abstractNum>
  <w:abstractNum w:abstractNumId="9">
    <w:multiLevelType w:val="hybridMultilevel"/>
    <w:lvl w:ilvl="0">
      <w:start w:val="10"/>
      <w:numFmt w:val="lowerLetter"/>
      <w:lvlText w:val="%1）"/>
      <w:lvlJc w:val="left"/>
      <w:pPr>
        <w:ind w:left="984" w:hanging="270"/>
        <w:jc w:val="left"/>
      </w:pPr>
      <w:rPr>
        <w:rFonts w:hint="default" w:ascii="Tahoma" w:hAnsi="Tahoma" w:eastAsia="Tahoma" w:cs="Tahoma"/>
        <w:spacing w:val="-29"/>
        <w:w w:val="99"/>
        <w:sz w:val="19"/>
        <w:szCs w:val="19"/>
        <w:lang w:val="en-US" w:eastAsia="en-US" w:bidi="en-US"/>
      </w:rPr>
    </w:lvl>
    <w:lvl w:ilvl="1">
      <w:start w:val="0"/>
      <w:numFmt w:val="bullet"/>
      <w:lvlText w:val="•"/>
      <w:lvlJc w:val="left"/>
      <w:pPr>
        <w:ind w:left="1400" w:hanging="270"/>
      </w:pPr>
      <w:rPr>
        <w:rFonts w:hint="default"/>
        <w:lang w:val="en-US" w:eastAsia="en-US" w:bidi="en-US"/>
      </w:rPr>
    </w:lvl>
    <w:lvl w:ilvl="2">
      <w:start w:val="0"/>
      <w:numFmt w:val="bullet"/>
      <w:lvlText w:val="•"/>
      <w:lvlJc w:val="left"/>
      <w:pPr>
        <w:ind w:left="2358" w:hanging="270"/>
      </w:pPr>
      <w:rPr>
        <w:rFonts w:hint="default"/>
        <w:lang w:val="en-US" w:eastAsia="en-US" w:bidi="en-US"/>
      </w:rPr>
    </w:lvl>
    <w:lvl w:ilvl="3">
      <w:start w:val="0"/>
      <w:numFmt w:val="bullet"/>
      <w:lvlText w:val="•"/>
      <w:lvlJc w:val="left"/>
      <w:pPr>
        <w:ind w:left="3317" w:hanging="270"/>
      </w:pPr>
      <w:rPr>
        <w:rFonts w:hint="default"/>
        <w:lang w:val="en-US" w:eastAsia="en-US" w:bidi="en-US"/>
      </w:rPr>
    </w:lvl>
    <w:lvl w:ilvl="4">
      <w:start w:val="0"/>
      <w:numFmt w:val="bullet"/>
      <w:lvlText w:val="•"/>
      <w:lvlJc w:val="left"/>
      <w:pPr>
        <w:ind w:left="4275" w:hanging="270"/>
      </w:pPr>
      <w:rPr>
        <w:rFonts w:hint="default"/>
        <w:lang w:val="en-US" w:eastAsia="en-US" w:bidi="en-US"/>
      </w:rPr>
    </w:lvl>
    <w:lvl w:ilvl="5">
      <w:start w:val="0"/>
      <w:numFmt w:val="bullet"/>
      <w:lvlText w:val="•"/>
      <w:lvlJc w:val="left"/>
      <w:pPr>
        <w:ind w:left="5234" w:hanging="270"/>
      </w:pPr>
      <w:rPr>
        <w:rFonts w:hint="default"/>
        <w:lang w:val="en-US" w:eastAsia="en-US" w:bidi="en-US"/>
      </w:rPr>
    </w:lvl>
    <w:lvl w:ilvl="6">
      <w:start w:val="0"/>
      <w:numFmt w:val="bullet"/>
      <w:lvlText w:val="•"/>
      <w:lvlJc w:val="left"/>
      <w:pPr>
        <w:ind w:left="6192" w:hanging="270"/>
      </w:pPr>
      <w:rPr>
        <w:rFonts w:hint="default"/>
        <w:lang w:val="en-US" w:eastAsia="en-US" w:bidi="en-US"/>
      </w:rPr>
    </w:lvl>
    <w:lvl w:ilvl="7">
      <w:start w:val="0"/>
      <w:numFmt w:val="bullet"/>
      <w:lvlText w:val="•"/>
      <w:lvlJc w:val="left"/>
      <w:pPr>
        <w:ind w:left="7151" w:hanging="270"/>
      </w:pPr>
      <w:rPr>
        <w:rFonts w:hint="default"/>
        <w:lang w:val="en-US" w:eastAsia="en-US" w:bidi="en-US"/>
      </w:rPr>
    </w:lvl>
    <w:lvl w:ilvl="8">
      <w:start w:val="0"/>
      <w:numFmt w:val="bullet"/>
      <w:lvlText w:val="•"/>
      <w:lvlJc w:val="left"/>
      <w:pPr>
        <w:ind w:left="8109" w:hanging="270"/>
      </w:pPr>
      <w:rPr>
        <w:rFonts w:hint="default"/>
        <w:lang w:val="en-US" w:eastAsia="en-US" w:bidi="en-US"/>
      </w:rPr>
    </w:lvl>
  </w:abstractNum>
  <w:abstractNum w:abstractNumId="8">
    <w:multiLevelType w:val="hybridMultilevel"/>
    <w:lvl w:ilvl="0">
      <w:start w:val="4"/>
      <w:numFmt w:val="lowerLetter"/>
      <w:lvlText w:val="%1）"/>
      <w:lvlJc w:val="left"/>
      <w:pPr>
        <w:ind w:left="1023" w:hanging="326"/>
        <w:jc w:val="left"/>
      </w:pPr>
      <w:rPr>
        <w:rFonts w:hint="default" w:ascii="Tahoma" w:hAnsi="Tahoma" w:eastAsia="Tahoma" w:cs="Tahoma"/>
        <w:spacing w:val="-1"/>
        <w:w w:val="99"/>
        <w:sz w:val="19"/>
        <w:szCs w:val="19"/>
        <w:lang w:val="en-US" w:eastAsia="en-US" w:bidi="en-US"/>
      </w:rPr>
    </w:lvl>
    <w:lvl w:ilvl="1">
      <w:start w:val="0"/>
      <w:numFmt w:val="bullet"/>
      <w:lvlText w:val="•"/>
      <w:lvlJc w:val="left"/>
      <w:pPr>
        <w:ind w:left="1920" w:hanging="326"/>
      </w:pPr>
      <w:rPr>
        <w:rFonts w:hint="default"/>
        <w:lang w:val="en-US" w:eastAsia="en-US" w:bidi="en-US"/>
      </w:rPr>
    </w:lvl>
    <w:lvl w:ilvl="2">
      <w:start w:val="0"/>
      <w:numFmt w:val="bullet"/>
      <w:lvlText w:val="•"/>
      <w:lvlJc w:val="left"/>
      <w:pPr>
        <w:ind w:left="2821" w:hanging="326"/>
      </w:pPr>
      <w:rPr>
        <w:rFonts w:hint="default"/>
        <w:lang w:val="en-US" w:eastAsia="en-US" w:bidi="en-US"/>
      </w:rPr>
    </w:lvl>
    <w:lvl w:ilvl="3">
      <w:start w:val="0"/>
      <w:numFmt w:val="bullet"/>
      <w:lvlText w:val="•"/>
      <w:lvlJc w:val="left"/>
      <w:pPr>
        <w:ind w:left="3722" w:hanging="326"/>
      </w:pPr>
      <w:rPr>
        <w:rFonts w:hint="default"/>
        <w:lang w:val="en-US" w:eastAsia="en-US" w:bidi="en-US"/>
      </w:rPr>
    </w:lvl>
    <w:lvl w:ilvl="4">
      <w:start w:val="0"/>
      <w:numFmt w:val="bullet"/>
      <w:lvlText w:val="•"/>
      <w:lvlJc w:val="left"/>
      <w:pPr>
        <w:ind w:left="4622" w:hanging="326"/>
      </w:pPr>
      <w:rPr>
        <w:rFonts w:hint="default"/>
        <w:lang w:val="en-US" w:eastAsia="en-US" w:bidi="en-US"/>
      </w:rPr>
    </w:lvl>
    <w:lvl w:ilvl="5">
      <w:start w:val="0"/>
      <w:numFmt w:val="bullet"/>
      <w:lvlText w:val="•"/>
      <w:lvlJc w:val="left"/>
      <w:pPr>
        <w:ind w:left="5523" w:hanging="326"/>
      </w:pPr>
      <w:rPr>
        <w:rFonts w:hint="default"/>
        <w:lang w:val="en-US" w:eastAsia="en-US" w:bidi="en-US"/>
      </w:rPr>
    </w:lvl>
    <w:lvl w:ilvl="6">
      <w:start w:val="0"/>
      <w:numFmt w:val="bullet"/>
      <w:lvlText w:val="•"/>
      <w:lvlJc w:val="left"/>
      <w:pPr>
        <w:ind w:left="6424" w:hanging="326"/>
      </w:pPr>
      <w:rPr>
        <w:rFonts w:hint="default"/>
        <w:lang w:val="en-US" w:eastAsia="en-US" w:bidi="en-US"/>
      </w:rPr>
    </w:lvl>
    <w:lvl w:ilvl="7">
      <w:start w:val="0"/>
      <w:numFmt w:val="bullet"/>
      <w:lvlText w:val="•"/>
      <w:lvlJc w:val="left"/>
      <w:pPr>
        <w:ind w:left="7324" w:hanging="326"/>
      </w:pPr>
      <w:rPr>
        <w:rFonts w:hint="default"/>
        <w:lang w:val="en-US" w:eastAsia="en-US" w:bidi="en-US"/>
      </w:rPr>
    </w:lvl>
    <w:lvl w:ilvl="8">
      <w:start w:val="0"/>
      <w:numFmt w:val="bullet"/>
      <w:lvlText w:val="•"/>
      <w:lvlJc w:val="left"/>
      <w:pPr>
        <w:ind w:left="8225" w:hanging="326"/>
      </w:pPr>
      <w:rPr>
        <w:rFonts w:hint="default"/>
        <w:lang w:val="en-US" w:eastAsia="en-US" w:bidi="en-US"/>
      </w:rPr>
    </w:lvl>
  </w:abstractNum>
  <w:abstractNum w:abstractNumId="7">
    <w:multiLevelType w:val="hybridMultilevel"/>
    <w:lvl w:ilvl="0">
      <w:start w:val="0"/>
      <w:numFmt w:val="decimal"/>
      <w:lvlText w:val="%1"/>
      <w:lvlJc w:val="left"/>
      <w:pPr>
        <w:ind w:left="674" w:hanging="396"/>
        <w:jc w:val="left"/>
      </w:pPr>
      <w:rPr>
        <w:rFonts w:hint="default"/>
        <w:lang w:val="en-US" w:eastAsia="en-US" w:bidi="en-US"/>
      </w:rPr>
    </w:lvl>
    <w:lvl w:ilvl="1">
      <w:start w:val="1"/>
      <w:numFmt w:val="decimal"/>
      <w:lvlText w:val="%1.%2"/>
      <w:lvlJc w:val="left"/>
      <w:pPr>
        <w:ind w:left="674" w:hanging="396"/>
        <w:jc w:val="left"/>
      </w:pPr>
      <w:rPr>
        <w:rFonts w:hint="default" w:ascii="Arial" w:hAnsi="Arial" w:eastAsia="Arial" w:cs="Arial"/>
        <w:spacing w:val="-2"/>
        <w:w w:val="99"/>
        <w:sz w:val="21"/>
        <w:szCs w:val="21"/>
        <w:lang w:val="en-US" w:eastAsia="en-US" w:bidi="en-US"/>
      </w:rPr>
    </w:lvl>
    <w:lvl w:ilvl="2">
      <w:start w:val="1"/>
      <w:numFmt w:val="lowerLetter"/>
      <w:lvlText w:val="%3）"/>
      <w:lvlJc w:val="left"/>
      <w:pPr>
        <w:ind w:left="1018" w:hanging="321"/>
        <w:jc w:val="left"/>
      </w:pPr>
      <w:rPr>
        <w:rFonts w:hint="default" w:ascii="Tahoma" w:hAnsi="Tahoma" w:eastAsia="Tahoma" w:cs="Tahoma"/>
        <w:spacing w:val="-1"/>
        <w:w w:val="99"/>
        <w:sz w:val="19"/>
        <w:szCs w:val="19"/>
        <w:lang w:val="en-US" w:eastAsia="en-US" w:bidi="en-US"/>
      </w:rPr>
    </w:lvl>
    <w:lvl w:ilvl="3">
      <w:start w:val="0"/>
      <w:numFmt w:val="bullet"/>
      <w:lvlText w:val="•"/>
      <w:lvlJc w:val="left"/>
      <w:pPr>
        <w:ind w:left="3021" w:hanging="321"/>
      </w:pPr>
      <w:rPr>
        <w:rFonts w:hint="default"/>
        <w:lang w:val="en-US" w:eastAsia="en-US" w:bidi="en-US"/>
      </w:rPr>
    </w:lvl>
    <w:lvl w:ilvl="4">
      <w:start w:val="0"/>
      <w:numFmt w:val="bullet"/>
      <w:lvlText w:val="•"/>
      <w:lvlJc w:val="left"/>
      <w:pPr>
        <w:ind w:left="4022" w:hanging="321"/>
      </w:pPr>
      <w:rPr>
        <w:rFonts w:hint="default"/>
        <w:lang w:val="en-US" w:eastAsia="en-US" w:bidi="en-US"/>
      </w:rPr>
    </w:lvl>
    <w:lvl w:ilvl="5">
      <w:start w:val="0"/>
      <w:numFmt w:val="bullet"/>
      <w:lvlText w:val="•"/>
      <w:lvlJc w:val="left"/>
      <w:pPr>
        <w:ind w:left="5023" w:hanging="321"/>
      </w:pPr>
      <w:rPr>
        <w:rFonts w:hint="default"/>
        <w:lang w:val="en-US" w:eastAsia="en-US" w:bidi="en-US"/>
      </w:rPr>
    </w:lvl>
    <w:lvl w:ilvl="6">
      <w:start w:val="0"/>
      <w:numFmt w:val="bullet"/>
      <w:lvlText w:val="•"/>
      <w:lvlJc w:val="left"/>
      <w:pPr>
        <w:ind w:left="6023" w:hanging="321"/>
      </w:pPr>
      <w:rPr>
        <w:rFonts w:hint="default"/>
        <w:lang w:val="en-US" w:eastAsia="en-US" w:bidi="en-US"/>
      </w:rPr>
    </w:lvl>
    <w:lvl w:ilvl="7">
      <w:start w:val="0"/>
      <w:numFmt w:val="bullet"/>
      <w:lvlText w:val="•"/>
      <w:lvlJc w:val="left"/>
      <w:pPr>
        <w:ind w:left="7024" w:hanging="321"/>
      </w:pPr>
      <w:rPr>
        <w:rFonts w:hint="default"/>
        <w:lang w:val="en-US" w:eastAsia="en-US" w:bidi="en-US"/>
      </w:rPr>
    </w:lvl>
    <w:lvl w:ilvl="8">
      <w:start w:val="0"/>
      <w:numFmt w:val="bullet"/>
      <w:lvlText w:val="•"/>
      <w:lvlJc w:val="left"/>
      <w:pPr>
        <w:ind w:left="8025" w:hanging="321"/>
      </w:pPr>
      <w:rPr>
        <w:rFonts w:hint="default"/>
        <w:lang w:val="en-US" w:eastAsia="en-US" w:bidi="en-US"/>
      </w:rPr>
    </w:lvl>
  </w:abstractNum>
  <w:abstractNum w:abstractNumId="6">
    <w:multiLevelType w:val="hybridMultilevel"/>
    <w:lvl w:ilvl="0">
      <w:start w:val="10"/>
      <w:numFmt w:val="decimal"/>
      <w:lvlText w:val="%1"/>
      <w:lvlJc w:val="left"/>
      <w:pPr>
        <w:ind w:left="804" w:hanging="526"/>
        <w:jc w:val="left"/>
      </w:pPr>
      <w:rPr>
        <w:rFonts w:hint="default"/>
        <w:lang w:val="en-US" w:eastAsia="en-US" w:bidi="en-US"/>
      </w:rPr>
    </w:lvl>
    <w:lvl w:ilvl="1">
      <w:start w:val="2"/>
      <w:numFmt w:val="decimal"/>
      <w:lvlText w:val="%1.%2"/>
      <w:lvlJc w:val="left"/>
      <w:pPr>
        <w:ind w:left="804" w:hanging="526"/>
        <w:jc w:val="left"/>
      </w:pPr>
      <w:rPr>
        <w:rFonts w:hint="default" w:ascii="黑体" w:hAnsi="黑体" w:eastAsia="黑体" w:cs="黑体"/>
        <w:spacing w:val="0"/>
        <w:w w:val="99"/>
        <w:sz w:val="21"/>
        <w:szCs w:val="21"/>
        <w:lang w:val="en-US" w:eastAsia="en-US" w:bidi="en-US"/>
      </w:rPr>
    </w:lvl>
    <w:lvl w:ilvl="2">
      <w:start w:val="0"/>
      <w:numFmt w:val="bullet"/>
      <w:lvlText w:val="•"/>
      <w:lvlJc w:val="left"/>
      <w:pPr>
        <w:ind w:left="2645" w:hanging="526"/>
      </w:pPr>
      <w:rPr>
        <w:rFonts w:hint="default"/>
        <w:lang w:val="en-US" w:eastAsia="en-US" w:bidi="en-US"/>
      </w:rPr>
    </w:lvl>
    <w:lvl w:ilvl="3">
      <w:start w:val="0"/>
      <w:numFmt w:val="bullet"/>
      <w:lvlText w:val="•"/>
      <w:lvlJc w:val="left"/>
      <w:pPr>
        <w:ind w:left="3568" w:hanging="526"/>
      </w:pPr>
      <w:rPr>
        <w:rFonts w:hint="default"/>
        <w:lang w:val="en-US" w:eastAsia="en-US" w:bidi="en-US"/>
      </w:rPr>
    </w:lvl>
    <w:lvl w:ilvl="4">
      <w:start w:val="0"/>
      <w:numFmt w:val="bullet"/>
      <w:lvlText w:val="•"/>
      <w:lvlJc w:val="left"/>
      <w:pPr>
        <w:ind w:left="4490" w:hanging="526"/>
      </w:pPr>
      <w:rPr>
        <w:rFonts w:hint="default"/>
        <w:lang w:val="en-US" w:eastAsia="en-US" w:bidi="en-US"/>
      </w:rPr>
    </w:lvl>
    <w:lvl w:ilvl="5">
      <w:start w:val="0"/>
      <w:numFmt w:val="bullet"/>
      <w:lvlText w:val="•"/>
      <w:lvlJc w:val="left"/>
      <w:pPr>
        <w:ind w:left="5413" w:hanging="526"/>
      </w:pPr>
      <w:rPr>
        <w:rFonts w:hint="default"/>
        <w:lang w:val="en-US" w:eastAsia="en-US" w:bidi="en-US"/>
      </w:rPr>
    </w:lvl>
    <w:lvl w:ilvl="6">
      <w:start w:val="0"/>
      <w:numFmt w:val="bullet"/>
      <w:lvlText w:val="•"/>
      <w:lvlJc w:val="left"/>
      <w:pPr>
        <w:ind w:left="6336" w:hanging="526"/>
      </w:pPr>
      <w:rPr>
        <w:rFonts w:hint="default"/>
        <w:lang w:val="en-US" w:eastAsia="en-US" w:bidi="en-US"/>
      </w:rPr>
    </w:lvl>
    <w:lvl w:ilvl="7">
      <w:start w:val="0"/>
      <w:numFmt w:val="bullet"/>
      <w:lvlText w:val="•"/>
      <w:lvlJc w:val="left"/>
      <w:pPr>
        <w:ind w:left="7258" w:hanging="526"/>
      </w:pPr>
      <w:rPr>
        <w:rFonts w:hint="default"/>
        <w:lang w:val="en-US" w:eastAsia="en-US" w:bidi="en-US"/>
      </w:rPr>
    </w:lvl>
    <w:lvl w:ilvl="8">
      <w:start w:val="0"/>
      <w:numFmt w:val="bullet"/>
      <w:lvlText w:val="•"/>
      <w:lvlJc w:val="left"/>
      <w:pPr>
        <w:ind w:left="8181" w:hanging="526"/>
      </w:pPr>
      <w:rPr>
        <w:rFonts w:hint="default"/>
        <w:lang w:val="en-US" w:eastAsia="en-US" w:bidi="en-US"/>
      </w:rPr>
    </w:lvl>
  </w:abstractNum>
  <w:abstractNum w:abstractNumId="5">
    <w:multiLevelType w:val="hybridMultilevel"/>
    <w:lvl w:ilvl="0">
      <w:start w:val="9"/>
      <w:numFmt w:val="decimal"/>
      <w:lvlText w:val="%1"/>
      <w:lvlJc w:val="left"/>
      <w:pPr>
        <w:ind w:left="487" w:hanging="209"/>
        <w:jc w:val="left"/>
      </w:pPr>
      <w:rPr>
        <w:rFonts w:hint="default" w:ascii="Times New Roman" w:hAnsi="Times New Roman" w:eastAsia="Times New Roman" w:cs="Times New Roman"/>
        <w:w w:val="99"/>
        <w:sz w:val="21"/>
        <w:szCs w:val="21"/>
        <w:lang w:val="en-US" w:eastAsia="en-US" w:bidi="en-US"/>
      </w:rPr>
    </w:lvl>
    <w:lvl w:ilvl="1">
      <w:start w:val="1"/>
      <w:numFmt w:val="decimal"/>
      <w:lvlText w:val="%1.%2"/>
      <w:lvlJc w:val="left"/>
      <w:pPr>
        <w:ind w:left="698" w:hanging="420"/>
        <w:jc w:val="left"/>
      </w:pPr>
      <w:rPr>
        <w:rFonts w:hint="default" w:ascii="黑体" w:hAnsi="黑体" w:eastAsia="黑体" w:cs="黑体"/>
        <w:spacing w:val="0"/>
        <w:w w:val="99"/>
        <w:sz w:val="21"/>
        <w:szCs w:val="21"/>
        <w:lang w:val="en-US" w:eastAsia="en-US" w:bidi="en-US"/>
      </w:rPr>
    </w:lvl>
    <w:lvl w:ilvl="2">
      <w:start w:val="0"/>
      <w:numFmt w:val="bullet"/>
      <w:lvlText w:val="•"/>
      <w:lvlJc w:val="left"/>
      <w:pPr>
        <w:ind w:left="1736" w:hanging="420"/>
      </w:pPr>
      <w:rPr>
        <w:rFonts w:hint="default"/>
        <w:lang w:val="en-US" w:eastAsia="en-US" w:bidi="en-US"/>
      </w:rPr>
    </w:lvl>
    <w:lvl w:ilvl="3">
      <w:start w:val="0"/>
      <w:numFmt w:val="bullet"/>
      <w:lvlText w:val="•"/>
      <w:lvlJc w:val="left"/>
      <w:pPr>
        <w:ind w:left="2772" w:hanging="420"/>
      </w:pPr>
      <w:rPr>
        <w:rFonts w:hint="default"/>
        <w:lang w:val="en-US" w:eastAsia="en-US" w:bidi="en-US"/>
      </w:rPr>
    </w:lvl>
    <w:lvl w:ilvl="4">
      <w:start w:val="0"/>
      <w:numFmt w:val="bullet"/>
      <w:lvlText w:val="•"/>
      <w:lvlJc w:val="left"/>
      <w:pPr>
        <w:ind w:left="3809" w:hanging="420"/>
      </w:pPr>
      <w:rPr>
        <w:rFonts w:hint="default"/>
        <w:lang w:val="en-US" w:eastAsia="en-US" w:bidi="en-US"/>
      </w:rPr>
    </w:lvl>
    <w:lvl w:ilvl="5">
      <w:start w:val="0"/>
      <w:numFmt w:val="bullet"/>
      <w:lvlText w:val="•"/>
      <w:lvlJc w:val="left"/>
      <w:pPr>
        <w:ind w:left="4845" w:hanging="420"/>
      </w:pPr>
      <w:rPr>
        <w:rFonts w:hint="default"/>
        <w:lang w:val="en-US" w:eastAsia="en-US" w:bidi="en-US"/>
      </w:rPr>
    </w:lvl>
    <w:lvl w:ilvl="6">
      <w:start w:val="0"/>
      <w:numFmt w:val="bullet"/>
      <w:lvlText w:val="•"/>
      <w:lvlJc w:val="left"/>
      <w:pPr>
        <w:ind w:left="5881" w:hanging="420"/>
      </w:pPr>
      <w:rPr>
        <w:rFonts w:hint="default"/>
        <w:lang w:val="en-US" w:eastAsia="en-US" w:bidi="en-US"/>
      </w:rPr>
    </w:lvl>
    <w:lvl w:ilvl="7">
      <w:start w:val="0"/>
      <w:numFmt w:val="bullet"/>
      <w:lvlText w:val="•"/>
      <w:lvlJc w:val="left"/>
      <w:pPr>
        <w:ind w:left="6918" w:hanging="420"/>
      </w:pPr>
      <w:rPr>
        <w:rFonts w:hint="default"/>
        <w:lang w:val="en-US" w:eastAsia="en-US" w:bidi="en-US"/>
      </w:rPr>
    </w:lvl>
    <w:lvl w:ilvl="8">
      <w:start w:val="0"/>
      <w:numFmt w:val="bullet"/>
      <w:lvlText w:val="•"/>
      <w:lvlJc w:val="left"/>
      <w:pPr>
        <w:ind w:left="7954" w:hanging="420"/>
      </w:pPr>
      <w:rPr>
        <w:rFonts w:hint="default"/>
        <w:lang w:val="en-US" w:eastAsia="en-US" w:bidi="en-US"/>
      </w:rPr>
    </w:lvl>
  </w:abstractNum>
  <w:abstractNum w:abstractNumId="4">
    <w:multiLevelType w:val="hybridMultilevel"/>
    <w:lvl w:ilvl="0">
      <w:start w:val="8"/>
      <w:numFmt w:val="decimal"/>
      <w:lvlText w:val="%1"/>
      <w:lvlJc w:val="left"/>
      <w:pPr>
        <w:ind w:left="907" w:hanging="629"/>
        <w:jc w:val="left"/>
      </w:pPr>
      <w:rPr>
        <w:rFonts w:hint="default"/>
        <w:lang w:val="en-US" w:eastAsia="en-US" w:bidi="en-US"/>
      </w:rPr>
    </w:lvl>
    <w:lvl w:ilvl="1">
      <w:start w:val="1"/>
      <w:numFmt w:val="decimal"/>
      <w:lvlText w:val="%1.%2"/>
      <w:lvlJc w:val="left"/>
      <w:pPr>
        <w:ind w:left="907" w:hanging="629"/>
        <w:jc w:val="left"/>
      </w:pPr>
      <w:rPr>
        <w:rFonts w:hint="default"/>
        <w:lang w:val="en-US" w:eastAsia="en-US" w:bidi="en-US"/>
      </w:rPr>
    </w:lvl>
    <w:lvl w:ilvl="2">
      <w:start w:val="2"/>
      <w:numFmt w:val="decimal"/>
      <w:lvlText w:val="%1.%2.%3"/>
      <w:lvlJc w:val="left"/>
      <w:pPr>
        <w:ind w:left="907" w:hanging="629"/>
        <w:jc w:val="left"/>
      </w:pPr>
      <w:rPr>
        <w:rFonts w:hint="default" w:ascii="黑体" w:hAnsi="黑体" w:eastAsia="黑体" w:cs="黑体"/>
        <w:spacing w:val="-2"/>
        <w:w w:val="99"/>
        <w:sz w:val="21"/>
        <w:szCs w:val="21"/>
        <w:lang w:val="en-US" w:eastAsia="en-US" w:bidi="en-US"/>
      </w:rPr>
    </w:lvl>
    <w:lvl w:ilvl="3">
      <w:start w:val="0"/>
      <w:numFmt w:val="bullet"/>
      <w:lvlText w:val="•"/>
      <w:lvlJc w:val="left"/>
      <w:pPr>
        <w:ind w:left="3638" w:hanging="629"/>
      </w:pPr>
      <w:rPr>
        <w:rFonts w:hint="default"/>
        <w:lang w:val="en-US" w:eastAsia="en-US" w:bidi="en-US"/>
      </w:rPr>
    </w:lvl>
    <w:lvl w:ilvl="4">
      <w:start w:val="0"/>
      <w:numFmt w:val="bullet"/>
      <w:lvlText w:val="•"/>
      <w:lvlJc w:val="left"/>
      <w:pPr>
        <w:ind w:left="4550" w:hanging="629"/>
      </w:pPr>
      <w:rPr>
        <w:rFonts w:hint="default"/>
        <w:lang w:val="en-US" w:eastAsia="en-US" w:bidi="en-US"/>
      </w:rPr>
    </w:lvl>
    <w:lvl w:ilvl="5">
      <w:start w:val="0"/>
      <w:numFmt w:val="bullet"/>
      <w:lvlText w:val="•"/>
      <w:lvlJc w:val="left"/>
      <w:pPr>
        <w:ind w:left="5463" w:hanging="629"/>
      </w:pPr>
      <w:rPr>
        <w:rFonts w:hint="default"/>
        <w:lang w:val="en-US" w:eastAsia="en-US" w:bidi="en-US"/>
      </w:rPr>
    </w:lvl>
    <w:lvl w:ilvl="6">
      <w:start w:val="0"/>
      <w:numFmt w:val="bullet"/>
      <w:lvlText w:val="•"/>
      <w:lvlJc w:val="left"/>
      <w:pPr>
        <w:ind w:left="6376" w:hanging="629"/>
      </w:pPr>
      <w:rPr>
        <w:rFonts w:hint="default"/>
        <w:lang w:val="en-US" w:eastAsia="en-US" w:bidi="en-US"/>
      </w:rPr>
    </w:lvl>
    <w:lvl w:ilvl="7">
      <w:start w:val="0"/>
      <w:numFmt w:val="bullet"/>
      <w:lvlText w:val="•"/>
      <w:lvlJc w:val="left"/>
      <w:pPr>
        <w:ind w:left="7288" w:hanging="629"/>
      </w:pPr>
      <w:rPr>
        <w:rFonts w:hint="default"/>
        <w:lang w:val="en-US" w:eastAsia="en-US" w:bidi="en-US"/>
      </w:rPr>
    </w:lvl>
    <w:lvl w:ilvl="8">
      <w:start w:val="0"/>
      <w:numFmt w:val="bullet"/>
      <w:lvlText w:val="•"/>
      <w:lvlJc w:val="left"/>
      <w:pPr>
        <w:ind w:left="8201" w:hanging="629"/>
      </w:pPr>
      <w:rPr>
        <w:rFonts w:hint="default"/>
        <w:lang w:val="en-US" w:eastAsia="en-US" w:bidi="en-US"/>
      </w:rPr>
    </w:lvl>
  </w:abstractNum>
  <w:abstractNum w:abstractNumId="3">
    <w:multiLevelType w:val="hybridMultilevel"/>
    <w:lvl w:ilvl="0">
      <w:start w:val="8"/>
      <w:numFmt w:val="decimal"/>
      <w:lvlText w:val="%1"/>
      <w:lvlJc w:val="left"/>
      <w:pPr>
        <w:ind w:left="698" w:hanging="420"/>
        <w:jc w:val="left"/>
      </w:pPr>
      <w:rPr>
        <w:rFonts w:hint="default"/>
        <w:lang w:val="en-US" w:eastAsia="en-US" w:bidi="en-US"/>
      </w:rPr>
    </w:lvl>
    <w:lvl w:ilvl="1">
      <w:start w:val="1"/>
      <w:numFmt w:val="decimal"/>
      <w:lvlText w:val="%1.%2"/>
      <w:lvlJc w:val="left"/>
      <w:pPr>
        <w:ind w:left="698" w:hanging="420"/>
        <w:jc w:val="left"/>
      </w:pPr>
      <w:rPr>
        <w:rFonts w:hint="default" w:ascii="黑体" w:hAnsi="黑体" w:eastAsia="黑体" w:cs="黑体"/>
        <w:spacing w:val="0"/>
        <w:w w:val="99"/>
        <w:sz w:val="21"/>
        <w:szCs w:val="21"/>
        <w:lang w:val="en-US" w:eastAsia="en-US" w:bidi="en-US"/>
      </w:rPr>
    </w:lvl>
    <w:lvl w:ilvl="2">
      <w:start w:val="0"/>
      <w:numFmt w:val="bullet"/>
      <w:lvlText w:val="•"/>
      <w:lvlJc w:val="left"/>
      <w:pPr>
        <w:ind w:left="2565" w:hanging="420"/>
      </w:pPr>
      <w:rPr>
        <w:rFonts w:hint="default"/>
        <w:lang w:val="en-US" w:eastAsia="en-US" w:bidi="en-US"/>
      </w:rPr>
    </w:lvl>
    <w:lvl w:ilvl="3">
      <w:start w:val="0"/>
      <w:numFmt w:val="bullet"/>
      <w:lvlText w:val="•"/>
      <w:lvlJc w:val="left"/>
      <w:pPr>
        <w:ind w:left="3498" w:hanging="420"/>
      </w:pPr>
      <w:rPr>
        <w:rFonts w:hint="default"/>
        <w:lang w:val="en-US" w:eastAsia="en-US" w:bidi="en-US"/>
      </w:rPr>
    </w:lvl>
    <w:lvl w:ilvl="4">
      <w:start w:val="0"/>
      <w:numFmt w:val="bullet"/>
      <w:lvlText w:val="•"/>
      <w:lvlJc w:val="left"/>
      <w:pPr>
        <w:ind w:left="4430" w:hanging="420"/>
      </w:pPr>
      <w:rPr>
        <w:rFonts w:hint="default"/>
        <w:lang w:val="en-US" w:eastAsia="en-US" w:bidi="en-US"/>
      </w:rPr>
    </w:lvl>
    <w:lvl w:ilvl="5">
      <w:start w:val="0"/>
      <w:numFmt w:val="bullet"/>
      <w:lvlText w:val="•"/>
      <w:lvlJc w:val="left"/>
      <w:pPr>
        <w:ind w:left="5363" w:hanging="420"/>
      </w:pPr>
      <w:rPr>
        <w:rFonts w:hint="default"/>
        <w:lang w:val="en-US" w:eastAsia="en-US" w:bidi="en-US"/>
      </w:rPr>
    </w:lvl>
    <w:lvl w:ilvl="6">
      <w:start w:val="0"/>
      <w:numFmt w:val="bullet"/>
      <w:lvlText w:val="•"/>
      <w:lvlJc w:val="left"/>
      <w:pPr>
        <w:ind w:left="6296" w:hanging="420"/>
      </w:pPr>
      <w:rPr>
        <w:rFonts w:hint="default"/>
        <w:lang w:val="en-US" w:eastAsia="en-US" w:bidi="en-US"/>
      </w:rPr>
    </w:lvl>
    <w:lvl w:ilvl="7">
      <w:start w:val="0"/>
      <w:numFmt w:val="bullet"/>
      <w:lvlText w:val="•"/>
      <w:lvlJc w:val="left"/>
      <w:pPr>
        <w:ind w:left="7228" w:hanging="420"/>
      </w:pPr>
      <w:rPr>
        <w:rFonts w:hint="default"/>
        <w:lang w:val="en-US" w:eastAsia="en-US" w:bidi="en-US"/>
      </w:rPr>
    </w:lvl>
    <w:lvl w:ilvl="8">
      <w:start w:val="0"/>
      <w:numFmt w:val="bullet"/>
      <w:lvlText w:val="•"/>
      <w:lvlJc w:val="left"/>
      <w:pPr>
        <w:ind w:left="8161" w:hanging="420"/>
      </w:pPr>
      <w:rPr>
        <w:rFonts w:hint="default"/>
        <w:lang w:val="en-US" w:eastAsia="en-US" w:bidi="en-US"/>
      </w:rPr>
    </w:lvl>
  </w:abstractNum>
  <w:abstractNum w:abstractNumId="2">
    <w:multiLevelType w:val="hybridMultilevel"/>
    <w:lvl w:ilvl="0">
      <w:start w:val="7"/>
      <w:numFmt w:val="decimal"/>
      <w:lvlText w:val="%1"/>
      <w:lvlJc w:val="left"/>
      <w:pPr>
        <w:ind w:left="907" w:hanging="629"/>
        <w:jc w:val="left"/>
      </w:pPr>
      <w:rPr>
        <w:rFonts w:hint="default"/>
        <w:lang w:val="en-US" w:eastAsia="en-US" w:bidi="en-US"/>
      </w:rPr>
    </w:lvl>
    <w:lvl w:ilvl="1">
      <w:start w:val="5"/>
      <w:numFmt w:val="decimal"/>
      <w:lvlText w:val="%1.%2"/>
      <w:lvlJc w:val="left"/>
      <w:pPr>
        <w:ind w:left="907" w:hanging="629"/>
        <w:jc w:val="left"/>
      </w:pPr>
      <w:rPr>
        <w:rFonts w:hint="default"/>
        <w:lang w:val="en-US" w:eastAsia="en-US" w:bidi="en-US"/>
      </w:rPr>
    </w:lvl>
    <w:lvl w:ilvl="2">
      <w:start w:val="2"/>
      <w:numFmt w:val="decimal"/>
      <w:lvlText w:val="%1.%2.%3"/>
      <w:lvlJc w:val="left"/>
      <w:pPr>
        <w:ind w:left="907" w:hanging="629"/>
        <w:jc w:val="left"/>
      </w:pPr>
      <w:rPr>
        <w:rFonts w:hint="default" w:ascii="黑体" w:hAnsi="黑体" w:eastAsia="黑体" w:cs="黑体"/>
        <w:spacing w:val="-2"/>
        <w:w w:val="99"/>
        <w:sz w:val="21"/>
        <w:szCs w:val="21"/>
        <w:lang w:val="en-US" w:eastAsia="en-US" w:bidi="en-US"/>
      </w:rPr>
    </w:lvl>
    <w:lvl w:ilvl="3">
      <w:start w:val="0"/>
      <w:numFmt w:val="bullet"/>
      <w:lvlText w:val="•"/>
      <w:lvlJc w:val="left"/>
      <w:pPr>
        <w:ind w:left="3638" w:hanging="629"/>
      </w:pPr>
      <w:rPr>
        <w:rFonts w:hint="default"/>
        <w:lang w:val="en-US" w:eastAsia="en-US" w:bidi="en-US"/>
      </w:rPr>
    </w:lvl>
    <w:lvl w:ilvl="4">
      <w:start w:val="0"/>
      <w:numFmt w:val="bullet"/>
      <w:lvlText w:val="•"/>
      <w:lvlJc w:val="left"/>
      <w:pPr>
        <w:ind w:left="4550" w:hanging="629"/>
      </w:pPr>
      <w:rPr>
        <w:rFonts w:hint="default"/>
        <w:lang w:val="en-US" w:eastAsia="en-US" w:bidi="en-US"/>
      </w:rPr>
    </w:lvl>
    <w:lvl w:ilvl="5">
      <w:start w:val="0"/>
      <w:numFmt w:val="bullet"/>
      <w:lvlText w:val="•"/>
      <w:lvlJc w:val="left"/>
      <w:pPr>
        <w:ind w:left="5463" w:hanging="629"/>
      </w:pPr>
      <w:rPr>
        <w:rFonts w:hint="default"/>
        <w:lang w:val="en-US" w:eastAsia="en-US" w:bidi="en-US"/>
      </w:rPr>
    </w:lvl>
    <w:lvl w:ilvl="6">
      <w:start w:val="0"/>
      <w:numFmt w:val="bullet"/>
      <w:lvlText w:val="•"/>
      <w:lvlJc w:val="left"/>
      <w:pPr>
        <w:ind w:left="6376" w:hanging="629"/>
      </w:pPr>
      <w:rPr>
        <w:rFonts w:hint="default"/>
        <w:lang w:val="en-US" w:eastAsia="en-US" w:bidi="en-US"/>
      </w:rPr>
    </w:lvl>
    <w:lvl w:ilvl="7">
      <w:start w:val="0"/>
      <w:numFmt w:val="bullet"/>
      <w:lvlText w:val="•"/>
      <w:lvlJc w:val="left"/>
      <w:pPr>
        <w:ind w:left="7288" w:hanging="629"/>
      </w:pPr>
      <w:rPr>
        <w:rFonts w:hint="default"/>
        <w:lang w:val="en-US" w:eastAsia="en-US" w:bidi="en-US"/>
      </w:rPr>
    </w:lvl>
    <w:lvl w:ilvl="8">
      <w:start w:val="0"/>
      <w:numFmt w:val="bullet"/>
      <w:lvlText w:val="•"/>
      <w:lvlJc w:val="left"/>
      <w:pPr>
        <w:ind w:left="8201" w:hanging="629"/>
      </w:pPr>
      <w:rPr>
        <w:rFonts w:hint="default"/>
        <w:lang w:val="en-US" w:eastAsia="en-US" w:bidi="en-US"/>
      </w:rPr>
    </w:lvl>
  </w:abstractNum>
  <w:abstractNum w:abstractNumId="1">
    <w:multiLevelType w:val="hybridMultilevel"/>
    <w:lvl w:ilvl="0">
      <w:start w:val="7"/>
      <w:numFmt w:val="decimal"/>
      <w:lvlText w:val="%1"/>
      <w:lvlJc w:val="left"/>
      <w:pPr>
        <w:ind w:left="907" w:hanging="629"/>
        <w:jc w:val="left"/>
      </w:pPr>
      <w:rPr>
        <w:rFonts w:hint="default"/>
        <w:lang w:val="en-US" w:eastAsia="en-US" w:bidi="en-US"/>
      </w:rPr>
    </w:lvl>
    <w:lvl w:ilvl="1">
      <w:start w:val="4"/>
      <w:numFmt w:val="decimal"/>
      <w:lvlText w:val="%1.%2"/>
      <w:lvlJc w:val="left"/>
      <w:pPr>
        <w:ind w:left="907" w:hanging="629"/>
        <w:jc w:val="left"/>
      </w:pPr>
      <w:rPr>
        <w:rFonts w:hint="default"/>
        <w:lang w:val="en-US" w:eastAsia="en-US" w:bidi="en-US"/>
      </w:rPr>
    </w:lvl>
    <w:lvl w:ilvl="2">
      <w:start w:val="2"/>
      <w:numFmt w:val="decimal"/>
      <w:lvlText w:val="%1.%2.%3"/>
      <w:lvlJc w:val="left"/>
      <w:pPr>
        <w:ind w:left="907" w:hanging="629"/>
        <w:jc w:val="left"/>
      </w:pPr>
      <w:rPr>
        <w:rFonts w:hint="default" w:ascii="黑体" w:hAnsi="黑体" w:eastAsia="黑体" w:cs="黑体"/>
        <w:spacing w:val="-2"/>
        <w:w w:val="99"/>
        <w:sz w:val="21"/>
        <w:szCs w:val="21"/>
        <w:lang w:val="en-US" w:eastAsia="en-US" w:bidi="en-US"/>
      </w:rPr>
    </w:lvl>
    <w:lvl w:ilvl="3">
      <w:start w:val="0"/>
      <w:numFmt w:val="bullet"/>
      <w:lvlText w:val="•"/>
      <w:lvlJc w:val="left"/>
      <w:pPr>
        <w:ind w:left="3638" w:hanging="629"/>
      </w:pPr>
      <w:rPr>
        <w:rFonts w:hint="default"/>
        <w:lang w:val="en-US" w:eastAsia="en-US" w:bidi="en-US"/>
      </w:rPr>
    </w:lvl>
    <w:lvl w:ilvl="4">
      <w:start w:val="0"/>
      <w:numFmt w:val="bullet"/>
      <w:lvlText w:val="•"/>
      <w:lvlJc w:val="left"/>
      <w:pPr>
        <w:ind w:left="4550" w:hanging="629"/>
      </w:pPr>
      <w:rPr>
        <w:rFonts w:hint="default"/>
        <w:lang w:val="en-US" w:eastAsia="en-US" w:bidi="en-US"/>
      </w:rPr>
    </w:lvl>
    <w:lvl w:ilvl="5">
      <w:start w:val="0"/>
      <w:numFmt w:val="bullet"/>
      <w:lvlText w:val="•"/>
      <w:lvlJc w:val="left"/>
      <w:pPr>
        <w:ind w:left="5463" w:hanging="629"/>
      </w:pPr>
      <w:rPr>
        <w:rFonts w:hint="default"/>
        <w:lang w:val="en-US" w:eastAsia="en-US" w:bidi="en-US"/>
      </w:rPr>
    </w:lvl>
    <w:lvl w:ilvl="6">
      <w:start w:val="0"/>
      <w:numFmt w:val="bullet"/>
      <w:lvlText w:val="•"/>
      <w:lvlJc w:val="left"/>
      <w:pPr>
        <w:ind w:left="6376" w:hanging="629"/>
      </w:pPr>
      <w:rPr>
        <w:rFonts w:hint="default"/>
        <w:lang w:val="en-US" w:eastAsia="en-US" w:bidi="en-US"/>
      </w:rPr>
    </w:lvl>
    <w:lvl w:ilvl="7">
      <w:start w:val="0"/>
      <w:numFmt w:val="bullet"/>
      <w:lvlText w:val="•"/>
      <w:lvlJc w:val="left"/>
      <w:pPr>
        <w:ind w:left="7288" w:hanging="629"/>
      </w:pPr>
      <w:rPr>
        <w:rFonts w:hint="default"/>
        <w:lang w:val="en-US" w:eastAsia="en-US" w:bidi="en-US"/>
      </w:rPr>
    </w:lvl>
    <w:lvl w:ilvl="8">
      <w:start w:val="0"/>
      <w:numFmt w:val="bullet"/>
      <w:lvlText w:val="•"/>
      <w:lvlJc w:val="left"/>
      <w:pPr>
        <w:ind w:left="8201" w:hanging="629"/>
      </w:pPr>
      <w:rPr>
        <w:rFonts w:hint="default"/>
        <w:lang w:val="en-US" w:eastAsia="en-US" w:bidi="en-US"/>
      </w:rPr>
    </w:lvl>
  </w:abstractNum>
  <w:abstractNum w:abstractNumId="0">
    <w:multiLevelType w:val="hybridMultilevel"/>
    <w:lvl w:ilvl="0">
      <w:start w:val="1"/>
      <w:numFmt w:val="decimal"/>
      <w:lvlText w:val="%1"/>
      <w:lvlJc w:val="left"/>
      <w:pPr>
        <w:ind w:left="487" w:hanging="209"/>
        <w:jc w:val="left"/>
      </w:pPr>
      <w:rPr>
        <w:rFonts w:hint="default" w:ascii="Times New Roman" w:hAnsi="Times New Roman" w:eastAsia="Times New Roman" w:cs="Times New Roman"/>
        <w:w w:val="99"/>
        <w:sz w:val="21"/>
        <w:szCs w:val="21"/>
        <w:lang w:val="en-US" w:eastAsia="en-US" w:bidi="en-US"/>
      </w:rPr>
    </w:lvl>
    <w:lvl w:ilvl="1">
      <w:start w:val="1"/>
      <w:numFmt w:val="decimal"/>
      <w:lvlText w:val="%1.%2"/>
      <w:lvlJc w:val="left"/>
      <w:pPr>
        <w:ind w:left="698" w:hanging="420"/>
        <w:jc w:val="left"/>
      </w:pPr>
      <w:rPr>
        <w:rFonts w:hint="default" w:ascii="黑体" w:hAnsi="黑体" w:eastAsia="黑体" w:cs="黑体"/>
        <w:spacing w:val="0"/>
        <w:w w:val="99"/>
        <w:sz w:val="21"/>
        <w:szCs w:val="21"/>
        <w:lang w:val="en-US" w:eastAsia="en-US" w:bidi="en-US"/>
      </w:rPr>
    </w:lvl>
    <w:lvl w:ilvl="2">
      <w:start w:val="1"/>
      <w:numFmt w:val="decimal"/>
      <w:lvlText w:val="%1.%2.%3"/>
      <w:lvlJc w:val="left"/>
      <w:pPr>
        <w:ind w:left="907" w:hanging="629"/>
        <w:jc w:val="left"/>
      </w:pPr>
      <w:rPr>
        <w:rFonts w:hint="default" w:ascii="黑体" w:hAnsi="黑体" w:eastAsia="黑体" w:cs="黑体"/>
        <w:spacing w:val="-2"/>
        <w:w w:val="99"/>
        <w:sz w:val="21"/>
        <w:szCs w:val="21"/>
        <w:lang w:val="en-US" w:eastAsia="en-US" w:bidi="en-US"/>
      </w:rPr>
    </w:lvl>
    <w:lvl w:ilvl="3">
      <w:start w:val="0"/>
      <w:numFmt w:val="bullet"/>
      <w:lvlText w:val="•"/>
      <w:lvlJc w:val="left"/>
      <w:pPr>
        <w:ind w:left="2040" w:hanging="629"/>
      </w:pPr>
      <w:rPr>
        <w:rFonts w:hint="default"/>
        <w:lang w:val="en-US" w:eastAsia="en-US" w:bidi="en-US"/>
      </w:rPr>
    </w:lvl>
    <w:lvl w:ilvl="4">
      <w:start w:val="0"/>
      <w:numFmt w:val="bullet"/>
      <w:lvlText w:val="•"/>
      <w:lvlJc w:val="left"/>
      <w:pPr>
        <w:ind w:left="3181" w:hanging="629"/>
      </w:pPr>
      <w:rPr>
        <w:rFonts w:hint="default"/>
        <w:lang w:val="en-US" w:eastAsia="en-US" w:bidi="en-US"/>
      </w:rPr>
    </w:lvl>
    <w:lvl w:ilvl="5">
      <w:start w:val="0"/>
      <w:numFmt w:val="bullet"/>
      <w:lvlText w:val="•"/>
      <w:lvlJc w:val="left"/>
      <w:pPr>
        <w:ind w:left="4322" w:hanging="629"/>
      </w:pPr>
      <w:rPr>
        <w:rFonts w:hint="default"/>
        <w:lang w:val="en-US" w:eastAsia="en-US" w:bidi="en-US"/>
      </w:rPr>
    </w:lvl>
    <w:lvl w:ilvl="6">
      <w:start w:val="0"/>
      <w:numFmt w:val="bullet"/>
      <w:lvlText w:val="•"/>
      <w:lvlJc w:val="left"/>
      <w:pPr>
        <w:ind w:left="5463" w:hanging="629"/>
      </w:pPr>
      <w:rPr>
        <w:rFonts w:hint="default"/>
        <w:lang w:val="en-US" w:eastAsia="en-US" w:bidi="en-US"/>
      </w:rPr>
    </w:lvl>
    <w:lvl w:ilvl="7">
      <w:start w:val="0"/>
      <w:numFmt w:val="bullet"/>
      <w:lvlText w:val="•"/>
      <w:lvlJc w:val="left"/>
      <w:pPr>
        <w:ind w:left="6604" w:hanging="629"/>
      </w:pPr>
      <w:rPr>
        <w:rFonts w:hint="default"/>
        <w:lang w:val="en-US" w:eastAsia="en-US" w:bidi="en-US"/>
      </w:rPr>
    </w:lvl>
    <w:lvl w:ilvl="8">
      <w:start w:val="0"/>
      <w:numFmt w:val="bullet"/>
      <w:lvlText w:val="•"/>
      <w:lvlJc w:val="left"/>
      <w:pPr>
        <w:ind w:left="7745" w:hanging="629"/>
      </w:pPr>
      <w:rPr>
        <w:rFonts w:hint="default"/>
        <w:lang w:val="en-US" w:eastAsia="en-US" w:bidi="en-US"/>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en-US" w:bidi="en-US"/>
    </w:rPr>
  </w:style>
  <w:style w:styleId="BodyText" w:type="paragraph">
    <w:name w:val="Body Text"/>
    <w:basedOn w:val="Normal"/>
    <w:uiPriority w:val="1"/>
    <w:qFormat/>
    <w:pPr>
      <w:spacing w:before="43"/>
    </w:pPr>
    <w:rPr>
      <w:rFonts w:ascii="宋体" w:hAnsi="宋体" w:eastAsia="宋体" w:cs="宋体"/>
      <w:sz w:val="21"/>
      <w:szCs w:val="21"/>
      <w:lang w:val="en-US" w:eastAsia="en-US" w:bidi="en-US"/>
    </w:rPr>
  </w:style>
  <w:style w:styleId="Heading1" w:type="paragraph">
    <w:name w:val="Heading 1"/>
    <w:basedOn w:val="Normal"/>
    <w:uiPriority w:val="1"/>
    <w:qFormat/>
    <w:pPr>
      <w:spacing w:before="54"/>
      <w:ind w:right="230"/>
      <w:jc w:val="center"/>
      <w:outlineLvl w:val="1"/>
    </w:pPr>
    <w:rPr>
      <w:rFonts w:ascii="黑体" w:hAnsi="黑体" w:eastAsia="黑体" w:cs="黑体"/>
      <w:sz w:val="32"/>
      <w:szCs w:val="32"/>
      <w:lang w:val="en-US" w:eastAsia="en-US" w:bidi="en-US"/>
    </w:rPr>
  </w:style>
  <w:style w:styleId="ListParagraph" w:type="paragraph">
    <w:name w:val="List Paragraph"/>
    <w:basedOn w:val="Normal"/>
    <w:uiPriority w:val="1"/>
    <w:qFormat/>
    <w:pPr>
      <w:spacing w:before="43"/>
      <w:ind w:left="1478" w:hanging="361"/>
    </w:pPr>
    <w:rPr>
      <w:rFonts w:ascii="宋体" w:hAnsi="宋体" w:eastAsia="宋体" w:cs="宋体"/>
      <w:lang w:val="en-US" w:eastAsia="en-US" w:bidi="en-US"/>
    </w:rPr>
  </w:style>
  <w:style w:styleId="TableParagraph" w:type="paragraph">
    <w:name w:val="Table Paragraph"/>
    <w:basedOn w:val="Normal"/>
    <w:uiPriority w:val="1"/>
    <w:qFormat/>
    <w:pPr>
      <w:ind w:left="108"/>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image" Target="media/image2.png"/><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footer" Target="footer13.xml"/><Relationship Id="rId22" Type="http://schemas.openxmlformats.org/officeDocument/2006/relationships/footer" Target="footer14.xml"/><Relationship Id="rId23" Type="http://schemas.openxmlformats.org/officeDocument/2006/relationships/hyperlink" Target="http://www.ilo.org/safework/info/standards-and-instruments/WCMS_107727/lang--en/index.htm" TargetMode="External"/><Relationship Id="rId24" Type="http://schemas.openxmlformats.org/officeDocument/2006/relationships/hyperlink" Target="http://www.ilo.org/normlex"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chenyq</dc:creator>
  <dcterms:created xsi:type="dcterms:W3CDTF">2020-06-01T02:29:55Z</dcterms:created>
  <dcterms:modified xsi:type="dcterms:W3CDTF">2020-06-01T02:29:55Z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2020-03-07T00:00:00Z</vt:filetime>
  </property>
  <property fmtid="{D5CDD505-2E9C-101B-9397-08002B2CF9AE}" pid="3" name="Creator">
    <vt:lpwstr>WPS 文字</vt:lpwstr>
  </property>
  <property fmtid="{D5CDD505-2E9C-101B-9397-08002B2CF9AE}" pid="4" name="LastSaved">
    <vt:filetime>2020-06-01T00:00:00Z</vt:filetime>
  </property>
</Properties>
</file>